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2026年中国磁悬浮交通行业发展现状及深度调研分析报告</w:t>
      </w:r>
    </w:p>
    <w:p>
      <w:pPr>
        <w:spacing w:after="150"/>
      </w:pPr>
      <w:r>
        <w:rPr>
          <w:b w:val="1"/>
          <w:bCs w:val="1"/>
        </w:rPr>
        <w:t xml:space="preserve">报告简介</w:t>
      </w:r>
    </w:p>
    <w:p>
      <w:pPr>
        <w:spacing w:after="150"/>
      </w:pPr>
      <w:r>
        <w:rPr/>
        <w:t xml:space="preserve">磁悬浮交通技术中，电磁悬浮(EMS)系统与电动悬浮(EDS)系统是两大主流技术体系，它们在多个关键维度上存在显著差异，这些差异直接影响着其应用场景和发展路径。从悬浮原理来看，EMS系统采用的是常导电磁吸引式悬浮。其工作原理是利用安装在车辆上的电磁铁与轨道上的铁磁材料之间产生的电磁吸引力，使车辆悬浮于轨道上方一定高度(通常为8-10毫米)。这种吸引力能够通过精密的控制系统实时调整，即使在车辆加速、减速或转弯时，也能维持稳定的悬浮状态，确保行驶的安全性和舒适性。而EDS系统则基于超导电动排斥式悬浮原理，车辆底部的超导线圈在轨道两侧的线圈产生的磁场中运动时，会感应出强大的电流，进而产生与轨道磁场相互排斥的力，从而实现车辆的悬浮，其悬浮高度通常可达100-150毫米，且速度越高，悬浮力越稳定。</w:t>
      </w:r>
    </w:p>
    <w:p>
      <w:pPr>
        <w:spacing w:after="150"/>
      </w:pPr>
      <w:r>
        <w:rPr/>
        <w:t xml:space="preserve">在技术特点上，EMS系统的电磁铁需要持续通电以维持磁场，因此对控制系统的响应速度要求极高，需在毫秒级内完成悬浮间隙的调整，以应对轨道不平顺等突发状况。不过，其结构相对简单，车辆与轨道的兼容性较强，可适应多种轨道线型。EDS系统则依赖超导材料的零电阻特性，超导线圈在液氮冷却下(温度低至-196℃)实现持续电流，无需额外供电维持磁场，但低温制冷系统的复杂性和维护成本相对较高。此外，EDS系统具有自稳定性，当悬浮间隙发生变化时，排斥力会自动调整，减少了对主动控制的依赖。</w:t>
      </w:r>
    </w:p>
    <w:p>
      <w:pPr>
        <w:spacing w:after="150"/>
      </w:pPr>
      <w:r>
        <w:rPr/>
        <w:t xml:space="preserve">我国在磁悬浮技术领域不断取得突破，国产化永磁悬浮(PMS)技术便是其中的重要成果。该技术结合了永磁材料的高磁能积特性与电磁控制技术，无需持续供电即可维持基础悬浮力，仅在调整悬浮间隙时消耗少量电能，已实现悬浮能耗降低40%的显著突破。同时，永磁材料的稳定性使其维护周期延长至8年以上，大幅低于常导系统的5年和超导系统的3年。这不仅提升了我国磁悬浮技术的自主创新能力，也为磁悬浮交通的经济性和节能性带来了新的提升空间，目前已在部分城市的中低速磁浮试验线中应用，有望在未来的市场竞争中占据有利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磁悬浮交通行业市场进行了分析研究。报告在总结磁悬浮交通行业发展历程的基础上，结合新时期的各方面因素，对磁悬浮交通行业的发展趋势给予了细致和审慎的预测论证。报告资料详实，图表丰富，既有深入的分析，又有直观的比较，为磁悬浮交通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磁悬浮交通行业界定与演进</w:t>
      </w:r>
    </w:p>
    <w:p>
      <w:pPr>
        <w:spacing w:before="75" w:after="0"/>
      </w:pPr>
      <w:r>
        <w:rPr/>
        <w:t xml:space="preserve">第一节 技术定义与分类</w:t>
      </w:r>
    </w:p>
    <w:p>
      <w:pPr>
        <w:spacing w:before="75" w:after="0"/>
      </w:pPr>
      <w:r>
        <w:rPr/>
        <w:t xml:space="preserve">一、技术原理对比</w:t>
      </w:r>
    </w:p>
    <w:p>
      <w:pPr>
        <w:spacing w:before="75" w:after="0"/>
      </w:pPr>
      <w:r>
        <w:rPr/>
        <w:t xml:space="preserve">二、应用场景谱系</w:t>
      </w:r>
    </w:p>
    <w:p>
      <w:pPr>
        <w:spacing w:before="75" w:after="0"/>
      </w:pPr>
      <w:r>
        <w:rPr/>
        <w:t xml:space="preserve">第二节 产业链全景图谱</w:t>
      </w:r>
    </w:p>
    <w:p>
      <w:pPr>
        <w:spacing w:before="75" w:after="0"/>
      </w:pPr>
      <w:r>
        <w:rPr/>
        <w:t xml:space="preserve">一、上游核心部件</w:t>
      </w:r>
    </w:p>
    <w:p>
      <w:pPr>
        <w:spacing w:before="75" w:after="0"/>
      </w:pPr>
      <w:r>
        <w:rPr/>
        <w:t xml:space="preserve">二、中游系统集成</w:t>
      </w:r>
    </w:p>
    <w:p>
      <w:pPr>
        <w:spacing w:before="75" w:after="0"/>
      </w:pPr>
      <w:r>
        <w:rPr/>
        <w:t xml:space="preserve">三、下游运营维护</w:t>
      </w:r>
    </w:p>
    <w:p>
      <w:pPr>
        <w:spacing w:before="75" w:after="0"/>
      </w:pPr>
      <w:r>
        <w:rPr>
          <w:b w:val="1"/>
          <w:bCs w:val="1"/>
        </w:rPr>
        <w:t xml:space="preserve">第二章 全球磁悬浮发展现状</w:t>
      </w:r>
    </w:p>
    <w:p>
      <w:pPr>
        <w:spacing w:before="75" w:after="0"/>
      </w:pPr>
      <w:r>
        <w:rPr/>
        <w:t xml:space="preserve">第一节 国际竞争格局</w:t>
      </w:r>
    </w:p>
    <w:p>
      <w:pPr>
        <w:spacing w:before="75" w:after="0"/>
      </w:pPr>
      <w:r>
        <w:rPr/>
        <w:t xml:space="preserve">一、商业化运营项目</w:t>
      </w:r>
    </w:p>
    <w:p>
      <w:pPr>
        <w:spacing w:before="75" w:after="0"/>
      </w:pPr>
      <w:r>
        <w:rPr/>
        <w:t xml:space="preserve">二、技术研发动态</w:t>
      </w:r>
    </w:p>
    <w:p>
      <w:pPr>
        <w:spacing w:before="75" w:after="0"/>
      </w:pPr>
      <w:r>
        <w:rPr/>
        <w:t xml:space="preserve">第二节 标准专利壁垒</w:t>
      </w:r>
    </w:p>
    <w:p>
      <w:pPr>
        <w:spacing w:before="75" w:after="0"/>
      </w:pPr>
      <w:r>
        <w:rPr/>
        <w:t xml:space="preserve">一、知识产权分布</w:t>
      </w:r>
    </w:p>
    <w:p>
      <w:pPr>
        <w:spacing w:before="75" w:after="0"/>
      </w:pPr>
      <w:r>
        <w:rPr/>
        <w:t xml:space="preserve">二、国际标准制定</w:t>
      </w:r>
    </w:p>
    <w:p>
      <w:pPr>
        <w:spacing w:before="75" w:after="0"/>
      </w:pPr>
      <w:r>
        <w:rPr>
          <w:b w:val="1"/>
          <w:bCs w:val="1"/>
        </w:rPr>
        <w:t xml:space="preserve">第三章 中国政策环境分析</w:t>
      </w:r>
    </w:p>
    <w:p>
      <w:pPr>
        <w:spacing w:before="75" w:after="0"/>
      </w:pPr>
      <w:r>
        <w:rPr/>
        <w:t xml:space="preserve">第一节 国家战略规划</w:t>
      </w:r>
    </w:p>
    <w:p>
      <w:pPr>
        <w:spacing w:before="75" w:after="0"/>
      </w:pPr>
      <w:r>
        <w:rPr/>
        <w:t xml:space="preserve">一、交通强国纲要实施</w:t>
      </w:r>
    </w:p>
    <w:p>
      <w:pPr>
        <w:spacing w:before="75" w:after="0"/>
      </w:pPr>
      <w:r>
        <w:rPr/>
        <w:t xml:space="preserve">二、科技创新2030支持</w:t>
      </w:r>
    </w:p>
    <w:p>
      <w:pPr>
        <w:spacing w:before="75" w:after="0"/>
      </w:pPr>
      <w:r>
        <w:rPr/>
        <w:t xml:space="preserve">第二节 区域发展政策</w:t>
      </w:r>
    </w:p>
    <w:p>
      <w:pPr>
        <w:spacing w:before="75" w:after="0"/>
      </w:pPr>
      <w:r>
        <w:rPr/>
        <w:t xml:space="preserve">一、长三角一体化</w:t>
      </w:r>
    </w:p>
    <w:p>
      <w:pPr>
        <w:spacing w:before="75" w:after="0"/>
      </w:pPr>
      <w:r>
        <w:rPr/>
        <w:t xml:space="preserve">二、粤港澳大湾区</w:t>
      </w:r>
    </w:p>
    <w:p>
      <w:pPr>
        <w:spacing w:before="75" w:after="0"/>
      </w:pPr>
      <w:r>
        <w:rPr>
          <w:b w:val="1"/>
          <w:bCs w:val="1"/>
        </w:rPr>
        <w:t xml:space="preserve">第四章 核心技术突破</w:t>
      </w:r>
    </w:p>
    <w:p>
      <w:pPr>
        <w:spacing w:before="75" w:after="0"/>
      </w:pPr>
      <w:r>
        <w:rPr/>
        <w:t xml:space="preserve">第一节 车辆系统创新</w:t>
      </w:r>
    </w:p>
    <w:p>
      <w:pPr>
        <w:spacing w:before="75" w:after="0"/>
      </w:pPr>
      <w:r>
        <w:rPr/>
        <w:t xml:space="preserve">一、悬浮控制技术</w:t>
      </w:r>
    </w:p>
    <w:p>
      <w:pPr>
        <w:spacing w:before="75" w:after="0"/>
      </w:pPr>
      <w:r>
        <w:rPr/>
        <w:t xml:space="preserve">二、牵引供电系统</w:t>
      </w:r>
    </w:p>
    <w:p>
      <w:pPr>
        <w:spacing w:before="75" w:after="0"/>
      </w:pPr>
      <w:r>
        <w:rPr/>
        <w:t xml:space="preserve">第二节 线路工程创新</w:t>
      </w:r>
    </w:p>
    <w:p>
      <w:pPr>
        <w:spacing w:before="75" w:after="0"/>
      </w:pPr>
      <w:r>
        <w:rPr/>
        <w:t xml:space="preserve">一、轨道梁技术</w:t>
      </w:r>
    </w:p>
    <w:p>
      <w:pPr>
        <w:spacing w:before="75" w:after="0"/>
      </w:pPr>
      <w:r>
        <w:rPr/>
        <w:t xml:space="preserve">二、隧道气动效应</w:t>
      </w:r>
    </w:p>
    <w:p>
      <w:pPr>
        <w:spacing w:before="75" w:after="0"/>
      </w:pPr>
      <w:r>
        <w:rPr>
          <w:b w:val="1"/>
          <w:bCs w:val="1"/>
        </w:rPr>
        <w:t xml:space="preserve">第五章 市场规模与项目进展</w:t>
      </w:r>
    </w:p>
    <w:p>
      <w:pPr>
        <w:spacing w:before="75" w:after="0"/>
      </w:pPr>
      <w:r>
        <w:rPr/>
        <w:t xml:space="preserve">第一节 2021-2025年建设情况</w:t>
      </w:r>
    </w:p>
    <w:p>
      <w:pPr>
        <w:spacing w:before="75" w:after="0"/>
      </w:pPr>
      <w:r>
        <w:rPr/>
        <w:t xml:space="preserve">一、运营线路统计</w:t>
      </w:r>
    </w:p>
    <w:p>
      <w:pPr>
        <w:spacing w:before="75" w:after="0"/>
      </w:pPr>
      <w:r>
        <w:rPr/>
        <w:t xml:space="preserve">二、在建项目进展</w:t>
      </w:r>
    </w:p>
    <w:p>
      <w:pPr>
        <w:spacing w:before="75" w:after="0"/>
      </w:pPr>
      <w:r>
        <w:rPr/>
        <w:t xml:space="preserve">第二节 2026-2031年规划</w:t>
      </w:r>
    </w:p>
    <w:p>
      <w:pPr>
        <w:spacing w:before="75" w:after="0"/>
      </w:pPr>
      <w:r>
        <w:rPr/>
        <w:t xml:space="preserve">一、国家干线网络</w:t>
      </w:r>
    </w:p>
    <w:p>
      <w:pPr>
        <w:spacing w:before="75" w:after="0"/>
      </w:pPr>
      <w:r>
        <w:rPr/>
        <w:t xml:space="preserve">二、城市内部应用</w:t>
      </w:r>
    </w:p>
    <w:p>
      <w:pPr>
        <w:spacing w:before="75" w:after="0"/>
      </w:pPr>
      <w:r>
        <w:rPr>
          <w:b w:val="1"/>
          <w:bCs w:val="1"/>
        </w:rPr>
        <w:t xml:space="preserve">第六章 经济性分析</w:t>
      </w:r>
    </w:p>
    <w:p>
      <w:pPr>
        <w:spacing w:before="75" w:after="0"/>
      </w:pPr>
      <w:r>
        <w:rPr/>
        <w:t xml:space="preserve">第一节 成本结构拆解</w:t>
      </w:r>
    </w:p>
    <w:p>
      <w:pPr>
        <w:spacing w:before="75" w:after="0"/>
      </w:pPr>
      <w:r>
        <w:rPr/>
        <w:t xml:space="preserve">一、建设成本</w:t>
      </w:r>
    </w:p>
    <w:p>
      <w:pPr>
        <w:spacing w:before="75" w:after="0"/>
      </w:pPr>
      <w:r>
        <w:rPr/>
        <w:t xml:space="preserve">二、运营成本</w:t>
      </w:r>
    </w:p>
    <w:p>
      <w:pPr>
        <w:spacing w:before="75" w:after="0"/>
      </w:pPr>
      <w:r>
        <w:rPr/>
        <w:t xml:space="preserve">第二节 收益模式创新</w:t>
      </w:r>
    </w:p>
    <w:p>
      <w:pPr>
        <w:spacing w:before="75" w:after="0"/>
      </w:pPr>
      <w:r>
        <w:rPr/>
        <w:t xml:space="preserve">一、票务与非票务收益</w:t>
      </w:r>
    </w:p>
    <w:p>
      <w:pPr>
        <w:spacing w:before="75" w:after="0"/>
      </w:pPr>
      <w:r>
        <w:rPr/>
        <w:t xml:space="preserve">二、土地综合开发</w:t>
      </w:r>
    </w:p>
    <w:p>
      <w:pPr>
        <w:spacing w:before="75" w:after="0"/>
      </w:pPr>
      <w:r>
        <w:rPr>
          <w:b w:val="1"/>
          <w:bCs w:val="1"/>
        </w:rPr>
        <w:t xml:space="preserve">第七章 竞争格局分析</w:t>
      </w:r>
    </w:p>
    <w:p>
      <w:pPr>
        <w:spacing w:before="75" w:after="0"/>
      </w:pPr>
      <w:r>
        <w:rPr/>
        <w:t xml:space="preserve">第一节 市场主体分布</w:t>
      </w:r>
    </w:p>
    <w:p>
      <w:pPr>
        <w:spacing w:before="75" w:after="0"/>
      </w:pPr>
      <w:r>
        <w:rPr/>
        <w:t xml:space="preserve">一、装备制造商</w:t>
      </w:r>
    </w:p>
    <w:p>
      <w:pPr>
        <w:spacing w:before="75" w:after="0"/>
      </w:pPr>
      <w:r>
        <w:rPr/>
        <w:t xml:space="preserve">二、工程承包商</w:t>
      </w:r>
    </w:p>
    <w:p>
      <w:pPr>
        <w:spacing w:before="75" w:after="0"/>
      </w:pPr>
      <w:r>
        <w:rPr/>
        <w:t xml:space="preserve">第二节 技术路线竞争</w:t>
      </w:r>
    </w:p>
    <w:p>
      <w:pPr>
        <w:spacing w:before="75" w:after="0"/>
      </w:pPr>
      <w:r>
        <w:rPr/>
        <w:t xml:space="preserve">一、高速磁悬浮</w:t>
      </w:r>
    </w:p>
    <w:p>
      <w:pPr>
        <w:spacing w:before="75" w:after="0"/>
      </w:pPr>
      <w:r>
        <w:rPr/>
        <w:t xml:space="preserve">二、中低速磁悬浮</w:t>
      </w:r>
    </w:p>
    <w:p>
      <w:pPr>
        <w:spacing w:before="75" w:after="0"/>
      </w:pPr>
      <w:r>
        <w:rPr>
          <w:b w:val="1"/>
          <w:bCs w:val="1"/>
        </w:rPr>
        <w:t xml:space="preserve">第八章 供应链安全评估</w:t>
      </w:r>
    </w:p>
    <w:p>
      <w:pPr>
        <w:spacing w:before="75" w:after="0"/>
      </w:pPr>
      <w:r>
        <w:rPr/>
        <w:t xml:space="preserve">第一节 关键材料供应</w:t>
      </w:r>
    </w:p>
    <w:p>
      <w:pPr>
        <w:spacing w:before="75" w:after="0"/>
      </w:pPr>
      <w:r>
        <w:rPr/>
        <w:t xml:space="preserve">一、超导材料</w:t>
      </w:r>
    </w:p>
    <w:p>
      <w:pPr>
        <w:spacing w:before="75" w:after="0"/>
      </w:pPr>
      <w:r>
        <w:rPr/>
        <w:t xml:space="preserve">二、特种合金</w:t>
      </w:r>
    </w:p>
    <w:p>
      <w:pPr>
        <w:spacing w:before="75" w:after="0"/>
      </w:pPr>
      <w:r>
        <w:rPr/>
        <w:t xml:space="preserve">第二节 设备国产化率</w:t>
      </w:r>
    </w:p>
    <w:p>
      <w:pPr>
        <w:spacing w:before="75" w:after="0"/>
      </w:pPr>
      <w:r>
        <w:rPr/>
        <w:t xml:space="preserve">一、核心系统</w:t>
      </w:r>
    </w:p>
    <w:p>
      <w:pPr>
        <w:spacing w:before="75" w:after="0"/>
      </w:pPr>
      <w:r>
        <w:rPr/>
        <w:t xml:space="preserve">二、配套设备</w:t>
      </w:r>
    </w:p>
    <w:p>
      <w:pPr>
        <w:spacing w:before="75" w:after="0"/>
      </w:pPr>
      <w:r>
        <w:rPr>
          <w:b w:val="1"/>
          <w:bCs w:val="1"/>
        </w:rPr>
        <w:t xml:space="preserve">第九章 技术风险分析</w:t>
      </w:r>
    </w:p>
    <w:p>
      <w:pPr>
        <w:spacing w:before="75" w:after="0"/>
      </w:pPr>
      <w:r>
        <w:rPr/>
        <w:t xml:space="preserve">第一节 工程实施风险</w:t>
      </w:r>
    </w:p>
    <w:p>
      <w:pPr>
        <w:spacing w:before="75" w:after="0"/>
      </w:pPr>
      <w:r>
        <w:rPr/>
        <w:t xml:space="preserve">一、地质适应性</w:t>
      </w:r>
    </w:p>
    <w:p>
      <w:pPr>
        <w:spacing w:before="75" w:after="0"/>
      </w:pPr>
      <w:r>
        <w:rPr/>
        <w:t xml:space="preserve">二、系统兼容性</w:t>
      </w:r>
    </w:p>
    <w:p>
      <w:pPr>
        <w:spacing w:before="75" w:after="0"/>
      </w:pPr>
      <w:r>
        <w:rPr/>
        <w:t xml:space="preserve">第二节 运营安全风险</w:t>
      </w:r>
    </w:p>
    <w:p>
      <w:pPr>
        <w:spacing w:before="75" w:after="0"/>
      </w:pPr>
      <w:r>
        <w:rPr/>
        <w:t xml:space="preserve">一、电磁干扰防护</w:t>
      </w:r>
    </w:p>
    <w:p>
      <w:pPr>
        <w:spacing w:before="75" w:after="0"/>
      </w:pPr>
      <w:r>
        <w:rPr/>
        <w:t xml:space="preserve">二、应急响应体系</w:t>
      </w:r>
    </w:p>
    <w:p>
      <w:pPr>
        <w:spacing w:before="75" w:after="0"/>
      </w:pPr>
      <w:r>
        <w:rPr>
          <w:b w:val="1"/>
          <w:bCs w:val="1"/>
        </w:rPr>
        <w:t xml:space="preserve">第十章 社会经济效益</w:t>
      </w:r>
    </w:p>
    <w:p>
      <w:pPr>
        <w:spacing w:before="75" w:after="0"/>
      </w:pPr>
      <w:r>
        <w:rPr/>
        <w:t xml:space="preserve">第一节 区域发展影响</w:t>
      </w:r>
    </w:p>
    <w:p>
      <w:pPr>
        <w:spacing w:before="75" w:after="0"/>
      </w:pPr>
      <w:r>
        <w:rPr/>
        <w:t xml:space="preserve">一、城市空间重构</w:t>
      </w:r>
    </w:p>
    <w:p>
      <w:pPr>
        <w:spacing w:before="75" w:after="0"/>
      </w:pPr>
      <w:r>
        <w:rPr/>
        <w:t xml:space="preserve">二、产业升级促进</w:t>
      </w:r>
    </w:p>
    <w:p>
      <w:pPr>
        <w:spacing w:before="75" w:after="0"/>
      </w:pPr>
      <w:r>
        <w:rPr/>
        <w:t xml:space="preserve">第二节 环境效益评估</w:t>
      </w:r>
    </w:p>
    <w:p>
      <w:pPr>
        <w:spacing w:before="75" w:after="0"/>
      </w:pPr>
      <w:r>
        <w:rPr/>
        <w:t xml:space="preserve">一、减碳贡献</w:t>
      </w:r>
    </w:p>
    <w:p>
      <w:pPr>
        <w:spacing w:before="75" w:after="0"/>
      </w:pPr>
      <w:r>
        <w:rPr/>
        <w:t xml:space="preserve">二、噪声污染控制</w:t>
      </w:r>
    </w:p>
    <w:p>
      <w:pPr>
        <w:spacing w:before="75" w:after="0"/>
      </w:pPr>
      <w:r>
        <w:rPr>
          <w:b w:val="1"/>
          <w:bCs w:val="1"/>
        </w:rPr>
        <w:t xml:space="preserve">第十一章 国际比较研究</w:t>
      </w:r>
    </w:p>
    <w:p>
      <w:pPr>
        <w:spacing w:before="75" w:after="0"/>
      </w:pPr>
      <w:r>
        <w:rPr/>
        <w:t xml:space="preserve">第一节 技术路线对比</w:t>
      </w:r>
    </w:p>
    <w:p>
      <w:pPr>
        <w:spacing w:before="75" w:after="0"/>
      </w:pPr>
      <w:r>
        <w:rPr/>
        <w:t xml:space="preserve">一、德国tr技术</w:t>
      </w:r>
    </w:p>
    <w:p>
      <w:pPr>
        <w:spacing w:before="75" w:after="0"/>
      </w:pPr>
      <w:r>
        <w:rPr/>
        <w:t xml:space="preserve">二、日本mlx系统</w:t>
      </w:r>
    </w:p>
    <w:p>
      <w:pPr>
        <w:spacing w:before="75" w:after="0"/>
      </w:pPr>
      <w:r>
        <w:rPr/>
        <w:t xml:space="preserve">第二节 政策模式借鉴</w:t>
      </w:r>
    </w:p>
    <w:p>
      <w:pPr>
        <w:spacing w:before="75" w:after="0"/>
      </w:pPr>
      <w:r>
        <w:rPr/>
        <w:t xml:space="preserve">一、立法保障</w:t>
      </w:r>
    </w:p>
    <w:p>
      <w:pPr>
        <w:spacing w:before="75" w:after="0"/>
      </w:pPr>
      <w:r>
        <w:rPr/>
        <w:t xml:space="preserve">二、投融资机制</w:t>
      </w:r>
    </w:p>
    <w:p>
      <w:pPr>
        <w:spacing w:before="75" w:after="0"/>
      </w:pPr>
      <w:r>
        <w:rPr>
          <w:b w:val="1"/>
          <w:bCs w:val="1"/>
        </w:rPr>
        <w:t xml:space="preserve">第十二章 商业模式创新</w:t>
      </w:r>
    </w:p>
    <w:p>
      <w:pPr>
        <w:spacing w:before="75" w:after="0"/>
      </w:pPr>
      <w:r>
        <w:rPr/>
        <w:t xml:space="preserve">第一节 政企合作模式</w:t>
      </w:r>
    </w:p>
    <w:p>
      <w:pPr>
        <w:spacing w:before="75" w:after="0"/>
      </w:pPr>
      <w:r>
        <w:rPr/>
        <w:t xml:space="preserve">一、bot实践案例</w:t>
      </w:r>
    </w:p>
    <w:p>
      <w:pPr>
        <w:spacing w:before="75" w:after="0"/>
      </w:pPr>
      <w:r>
        <w:rPr/>
        <w:t xml:space="preserve">二、reits探索</w:t>
      </w:r>
    </w:p>
    <w:p>
      <w:pPr>
        <w:spacing w:before="75" w:after="0"/>
      </w:pPr>
      <w:r>
        <w:rPr/>
        <w:t xml:space="preserve">第二节 增值服务开发</w:t>
      </w:r>
    </w:p>
    <w:p>
      <w:pPr>
        <w:spacing w:before="75" w:after="0"/>
      </w:pPr>
      <w:r>
        <w:rPr/>
        <w:t xml:space="preserve">一、旅游专线设计</w:t>
      </w:r>
    </w:p>
    <w:p>
      <w:pPr>
        <w:spacing w:before="75" w:after="0"/>
      </w:pPr>
      <w:r>
        <w:rPr/>
        <w:t xml:space="preserve">二、高端商务服务</w:t>
      </w:r>
    </w:p>
    <w:p>
      <w:pPr>
        <w:spacing w:before="75" w:after="0"/>
      </w:pPr>
      <w:r>
        <w:rPr>
          <w:b w:val="1"/>
          <w:bCs w:val="1"/>
        </w:rPr>
        <w:t xml:space="preserve">第十三章 标准体系构建</w:t>
      </w:r>
    </w:p>
    <w:p>
      <w:pPr>
        <w:spacing w:before="75" w:after="0"/>
      </w:pPr>
      <w:r>
        <w:rPr/>
        <w:t xml:space="preserve">第一节 国家标准进展</w:t>
      </w:r>
    </w:p>
    <w:p>
      <w:pPr>
        <w:spacing w:before="75" w:after="0"/>
      </w:pPr>
      <w:r>
        <w:rPr/>
        <w:t xml:space="preserve">一、工程建设标准</w:t>
      </w:r>
    </w:p>
    <w:p>
      <w:pPr>
        <w:spacing w:before="75" w:after="0"/>
      </w:pPr>
      <w:r>
        <w:rPr/>
        <w:t xml:space="preserve">二、运营管理标准</w:t>
      </w:r>
    </w:p>
    <w:p>
      <w:pPr>
        <w:spacing w:before="75" w:after="0"/>
      </w:pPr>
      <w:r>
        <w:rPr/>
        <w:t xml:space="preserve">第二节 国际标准参与</w:t>
      </w:r>
    </w:p>
    <w:p>
      <w:pPr>
        <w:spacing w:before="75" w:after="0"/>
      </w:pPr>
      <w:r>
        <w:rPr/>
        <w:t xml:space="preserve">一、iso/tc269工作</w:t>
      </w:r>
    </w:p>
    <w:p>
      <w:pPr>
        <w:spacing w:before="75" w:after="0"/>
      </w:pPr>
      <w:r>
        <w:rPr/>
        <w:t xml:space="preserve">二、互认障碍突破</w:t>
      </w:r>
    </w:p>
    <w:p>
      <w:pPr>
        <w:spacing w:before="75" w:after="0"/>
      </w:pPr>
      <w:r>
        <w:rPr>
          <w:b w:val="1"/>
          <w:bCs w:val="1"/>
        </w:rPr>
        <w:t xml:space="preserve">第十四章 人才供需分析</w:t>
      </w:r>
    </w:p>
    <w:p>
      <w:pPr>
        <w:spacing w:before="75" w:after="0"/>
      </w:pPr>
      <w:r>
        <w:rPr/>
        <w:t xml:space="preserve">第一节 专业人才需求</w:t>
      </w:r>
    </w:p>
    <w:p>
      <w:pPr>
        <w:spacing w:before="75" w:after="0"/>
      </w:pPr>
      <w:r>
        <w:rPr/>
        <w:t xml:space="preserve">一、研发设计类</w:t>
      </w:r>
    </w:p>
    <w:p>
      <w:pPr>
        <w:spacing w:before="75" w:after="0"/>
      </w:pPr>
      <w:r>
        <w:rPr/>
        <w:t xml:space="preserve">二、运维管理类</w:t>
      </w:r>
    </w:p>
    <w:p>
      <w:pPr>
        <w:spacing w:before="75" w:after="0"/>
      </w:pPr>
      <w:r>
        <w:rPr/>
        <w:t xml:space="preserve">第二节 教育体系支持</w:t>
      </w:r>
    </w:p>
    <w:p>
      <w:pPr>
        <w:spacing w:before="75" w:after="0"/>
      </w:pPr>
      <w:r>
        <w:rPr/>
        <w:t xml:space="preserve">一、高等教育</w:t>
      </w:r>
    </w:p>
    <w:p>
      <w:pPr>
        <w:spacing w:before="75" w:after="0"/>
      </w:pPr>
      <w:r>
        <w:rPr/>
        <w:t xml:space="preserve">二、职业培训</w:t>
      </w:r>
    </w:p>
    <w:p>
      <w:pPr>
        <w:spacing w:before="75" w:after="0"/>
      </w:pPr>
      <w:r>
        <w:rPr>
          <w:b w:val="1"/>
          <w:bCs w:val="1"/>
        </w:rPr>
        <w:t xml:space="preserve">第十五章 区域发展比较</w:t>
      </w:r>
    </w:p>
    <w:p>
      <w:pPr>
        <w:spacing w:before="75" w:after="0"/>
      </w:pPr>
      <w:r>
        <w:rPr/>
        <w:t xml:space="preserve">第一节 先行示范区</w:t>
      </w:r>
    </w:p>
    <w:p>
      <w:pPr>
        <w:spacing w:before="75" w:after="0"/>
      </w:pPr>
      <w:r>
        <w:rPr/>
        <w:t xml:space="preserve">一、湖南经验</w:t>
      </w:r>
    </w:p>
    <w:p>
      <w:pPr>
        <w:spacing w:before="75" w:after="0"/>
      </w:pPr>
      <w:r>
        <w:rPr/>
        <w:t xml:space="preserve">二、山东布局</w:t>
      </w:r>
    </w:p>
    <w:p>
      <w:pPr>
        <w:spacing w:before="75" w:after="0"/>
      </w:pPr>
      <w:r>
        <w:rPr/>
        <w:t xml:space="preserve">第二节 新兴潜力区</w:t>
      </w:r>
    </w:p>
    <w:p>
      <w:pPr>
        <w:spacing w:before="75" w:after="0"/>
      </w:pPr>
      <w:r>
        <w:rPr/>
        <w:t xml:space="preserve">一、成渝双城圈</w:t>
      </w:r>
    </w:p>
    <w:p>
      <w:pPr>
        <w:spacing w:before="75" w:after="0"/>
      </w:pPr>
      <w:r>
        <w:rPr/>
        <w:t xml:space="preserve">二、粤港澳大湾区</w:t>
      </w:r>
    </w:p>
    <w:p>
      <w:pPr>
        <w:spacing w:before="75" w:after="0"/>
      </w:pPr>
      <w:r>
        <w:rPr>
          <w:b w:val="1"/>
          <w:bCs w:val="1"/>
        </w:rPr>
        <w:t xml:space="preserve">第十六章 军民融合应用</w:t>
      </w:r>
    </w:p>
    <w:p>
      <w:pPr>
        <w:spacing w:before="75" w:after="0"/>
      </w:pPr>
      <w:r>
        <w:rPr/>
        <w:t xml:space="preserve">第一节 国防领域价值</w:t>
      </w:r>
    </w:p>
    <w:p>
      <w:pPr>
        <w:spacing w:before="75" w:after="0"/>
      </w:pPr>
      <w:r>
        <w:rPr/>
        <w:t xml:space="preserve">一、快速部署能力</w:t>
      </w:r>
    </w:p>
    <w:p>
      <w:pPr>
        <w:spacing w:before="75" w:after="0"/>
      </w:pPr>
      <w:r>
        <w:rPr/>
        <w:t xml:space="preserve">二、技术衍生成果</w:t>
      </w:r>
    </w:p>
    <w:p>
      <w:pPr>
        <w:spacing w:before="75" w:after="0"/>
      </w:pPr>
      <w:r>
        <w:rPr/>
        <w:t xml:space="preserve">第二节 保密管理要求</w:t>
      </w:r>
    </w:p>
    <w:p>
      <w:pPr>
        <w:spacing w:before="75" w:after="0"/>
      </w:pPr>
      <w:r>
        <w:rPr/>
        <w:t xml:space="preserve">一、核心技术管控</w:t>
      </w:r>
    </w:p>
    <w:p>
      <w:pPr>
        <w:spacing w:before="75" w:after="0"/>
      </w:pPr>
      <w:r>
        <w:rPr/>
        <w:t xml:space="preserve">二、设施防护标准</w:t>
      </w:r>
    </w:p>
    <w:p>
      <w:pPr>
        <w:spacing w:before="75" w:after="0"/>
      </w:pPr>
      <w:r>
        <w:rPr>
          <w:b w:val="1"/>
          <w:bCs w:val="1"/>
        </w:rPr>
        <w:t xml:space="preserve">第十七章 社会认知调研</w:t>
      </w:r>
    </w:p>
    <w:p>
      <w:pPr>
        <w:spacing w:before="75" w:after="0"/>
      </w:pPr>
      <w:r>
        <w:rPr/>
        <w:t xml:space="preserve">第一节 公众接受度</w:t>
      </w:r>
    </w:p>
    <w:p>
      <w:pPr>
        <w:spacing w:before="75" w:after="0"/>
      </w:pPr>
      <w:r>
        <w:rPr/>
        <w:t xml:space="preserve">一、安全认知调查</w:t>
      </w:r>
    </w:p>
    <w:p>
      <w:pPr>
        <w:spacing w:before="75" w:after="0"/>
      </w:pPr>
      <w:r>
        <w:rPr/>
        <w:t xml:space="preserve">二、票价敏感度</w:t>
      </w:r>
    </w:p>
    <w:p>
      <w:pPr>
        <w:spacing w:before="75" w:after="0"/>
      </w:pPr>
      <w:r>
        <w:rPr/>
        <w:t xml:space="preserve">第二节 舆论引导策略</w:t>
      </w:r>
    </w:p>
    <w:p>
      <w:pPr>
        <w:spacing w:before="75" w:after="0"/>
      </w:pPr>
      <w:r>
        <w:rPr/>
        <w:t xml:space="preserve">一、科学传播</w:t>
      </w:r>
    </w:p>
    <w:p>
      <w:pPr>
        <w:spacing w:before="75" w:after="0"/>
      </w:pPr>
      <w:r>
        <w:rPr/>
        <w:t xml:space="preserve">二、社区参与</w:t>
      </w:r>
    </w:p>
    <w:p>
      <w:pPr>
        <w:spacing w:before="75" w:after="0"/>
      </w:pPr>
      <w:r>
        <w:rPr>
          <w:b w:val="1"/>
          <w:bCs w:val="1"/>
        </w:rPr>
        <w:t xml:space="preserve">第十八章 新兴技术融合</w:t>
      </w:r>
    </w:p>
    <w:p>
      <w:pPr>
        <w:spacing w:before="75" w:after="0"/>
      </w:pPr>
      <w:r>
        <w:rPr/>
        <w:t xml:space="preserve">第一节 数字化赋能</w:t>
      </w:r>
    </w:p>
    <w:p>
      <w:pPr>
        <w:spacing w:before="75" w:after="0"/>
      </w:pPr>
      <w:r>
        <w:rPr/>
        <w:t xml:space="preserve">一、智能运维系统</w:t>
      </w:r>
    </w:p>
    <w:p>
      <w:pPr>
        <w:spacing w:before="75" w:after="0"/>
      </w:pPr>
      <w:r>
        <w:rPr/>
        <w:t xml:space="preserve">二、旅客服务创新</w:t>
      </w:r>
    </w:p>
    <w:p>
      <w:pPr>
        <w:spacing w:before="75" w:after="0"/>
      </w:pPr>
      <w:r>
        <w:rPr/>
        <w:t xml:space="preserve">第二节 绿色技术整合</w:t>
      </w:r>
    </w:p>
    <w:p>
      <w:pPr>
        <w:spacing w:before="75" w:after="0"/>
      </w:pPr>
      <w:r>
        <w:rPr/>
        <w:t xml:space="preserve">一、可再生能源供电</w:t>
      </w:r>
    </w:p>
    <w:p>
      <w:pPr>
        <w:spacing w:before="75" w:after="0"/>
      </w:pPr>
      <w:r>
        <w:rPr/>
        <w:t xml:space="preserve">二、材料循环利用</w:t>
      </w:r>
    </w:p>
    <w:p>
      <w:pPr>
        <w:spacing w:before="75" w:after="0"/>
      </w:pPr>
      <w:r>
        <w:rPr>
          <w:b w:val="1"/>
          <w:bCs w:val="1"/>
        </w:rPr>
        <w:t xml:space="preserve">第十九章 典型案例分析</w:t>
      </w:r>
    </w:p>
    <w:p>
      <w:pPr>
        <w:spacing w:before="75" w:after="0"/>
      </w:pPr>
      <w:r>
        <w:rPr/>
        <w:t xml:space="preserve">第一节 国内标杆项目</w:t>
      </w:r>
    </w:p>
    <w:p>
      <w:pPr>
        <w:spacing w:before="75" w:after="0"/>
      </w:pPr>
      <w:r>
        <w:rPr/>
        <w:t xml:space="preserve">一、上海高速磁浮</w:t>
      </w:r>
    </w:p>
    <w:p>
      <w:pPr>
        <w:spacing w:before="75" w:after="0"/>
      </w:pPr>
      <w:r>
        <w:rPr/>
        <w:t xml:space="preserve">二、清远中低速磁浮</w:t>
      </w:r>
    </w:p>
    <w:p>
      <w:pPr>
        <w:spacing w:before="75" w:after="0"/>
      </w:pPr>
      <w:r>
        <w:rPr/>
        <w:t xml:space="preserve">第二节 国际参考案例</w:t>
      </w:r>
    </w:p>
    <w:p>
      <w:pPr>
        <w:spacing w:before="75" w:after="0"/>
      </w:pPr>
      <w:r>
        <w:rPr/>
        <w:t xml:space="preserve">一、日本l0系超导磁浮</w:t>
      </w:r>
    </w:p>
    <w:p>
      <w:pPr>
        <w:spacing w:before="75" w:after="0"/>
      </w:pPr>
      <w:r>
        <w:rPr/>
        <w:t xml:space="preserve">二、韩国仁川机场磁悬浮脱轨事故</w:t>
      </w:r>
    </w:p>
    <w:p>
      <w:pPr>
        <w:spacing w:before="75" w:after="0"/>
      </w:pPr>
      <w:r>
        <w:rPr>
          <w:b w:val="1"/>
          <w:bCs w:val="1"/>
        </w:rPr>
        <w:t xml:space="preserve">第二十章 发展建议与展望</w:t>
      </w:r>
    </w:p>
    <w:p>
      <w:pPr>
        <w:spacing w:before="75" w:after="0"/>
      </w:pPr>
      <w:r>
        <w:rPr/>
        <w:t xml:space="preserve">第一节 战略建议</w:t>
      </w:r>
    </w:p>
    <w:p>
      <w:pPr>
        <w:spacing w:before="75" w:after="0"/>
      </w:pPr>
      <w:r>
        <w:rPr/>
        <w:t xml:space="preserve">一、国家层面</w:t>
      </w:r>
    </w:p>
    <w:p>
      <w:pPr>
        <w:spacing w:before="75" w:after="0"/>
      </w:pPr>
      <w:r>
        <w:rPr/>
        <w:t xml:space="preserve">二、企业层面</w:t>
      </w:r>
    </w:p>
    <w:p>
      <w:pPr>
        <w:spacing w:before="75" w:after="0"/>
      </w:pPr>
      <w:r>
        <w:rPr/>
        <w:t xml:space="preserve">第二节 趋势预判</w:t>
      </w:r>
    </w:p>
    <w:p>
      <w:pPr>
        <w:spacing w:before="75" w:after="0"/>
      </w:pPr>
      <w:r>
        <w:rPr/>
        <w:t xml:space="preserve">一、技术融合方向</w:t>
      </w:r>
    </w:p>
    <w:p>
      <w:pPr>
        <w:spacing w:before="75" w:after="0"/>
      </w:pPr>
      <w:r>
        <w:rPr/>
        <w:t xml:space="preserve">二、市场分化预测</w:t>
      </w:r>
    </w:p>
    <w:p>
      <w:pPr>
        <w:spacing w:before="75" w:after="0"/>
      </w:pPr>
      <w:r>
        <w:rPr>
          <w:b w:val="1"/>
          <w:bCs w:val="1"/>
        </w:rPr>
        <w:t xml:space="preserve">图表目录</w:t>
      </w:r>
    </w:p>
    <w:p>
      <w:pPr>
        <w:spacing w:before="75" w:after="0"/>
      </w:pPr>
      <w:r>
        <w:rPr/>
        <w:t xml:space="preserve">图表：电磁悬浮(ems)与电动悬浮(eds)核心参数对比</w:t>
      </w:r>
    </w:p>
    <w:p>
      <w:pPr>
        <w:spacing w:before="75" w:after="0"/>
      </w:pPr>
      <w:r>
        <w:rPr/>
        <w:t xml:space="preserve">图表：全球主要商业化磁悬浮项目技术参数对比</w:t>
      </w:r>
    </w:p>
    <w:p>
      <w:pPr>
        <w:spacing w:before="75" w:after="0"/>
      </w:pPr>
      <w:r>
        <w:rPr/>
        <w:t xml:space="preserve">图表：磁悬浮车辆系统与线路工程核心技术指标突破</w:t>
      </w:r>
    </w:p>
    <w:p>
      <w:pPr>
        <w:spacing w:before="75" w:after="0"/>
      </w:pPr>
      <w:r>
        <w:rPr/>
        <w:t xml:space="preserve">图表：2026-2031年国家磁悬浮干线网络关键指标(京津冀/粤港澳)</w:t>
      </w:r>
    </w:p>
    <w:p>
      <w:pPr>
        <w:spacing w:before="75" w:after="0"/>
      </w:pPr>
      <w:r>
        <w:rPr/>
        <w:t xml:space="preserve">图表：2025年不同速度等级磁悬浮线路单位公里造价对比</w:t>
      </w:r>
    </w:p>
    <w:p>
      <w:pPr>
        <w:spacing w:before="75" w:after="0"/>
      </w:pPr>
      <w:r>
        <w:rPr/>
        <w:t xml:space="preserve">图表：2025年磁悬浮建设土地征收成本占总投资比例区域对比</w:t>
      </w:r>
    </w:p>
    <w:p>
      <w:pPr>
        <w:spacing w:before="75" w:after="0"/>
      </w:pPr>
      <w:r>
        <w:rPr/>
        <w:t xml:space="preserve">图表：磁悬浮票务收益模式创新对比表</w:t>
      </w:r>
    </w:p>
    <w:p>
      <w:pPr>
        <w:spacing w:before="75" w:after="0"/>
      </w:pPr>
      <w:r>
        <w:rPr/>
        <w:t xml:space="preserve">图表：2025年上海虹桥枢纽磁浮站周边不同距离地价涨幅情况</w:t>
      </w:r>
    </w:p>
    <w:p>
      <w:pPr>
        <w:spacing w:before="75" w:after="0"/>
      </w:pPr>
      <w:r>
        <w:rPr/>
        <w:t xml:space="preserve">图表：国际磁悬浮行业技术综合对比与启示</w:t>
      </w:r>
    </w:p>
    <w:p>
      <w:pPr>
        <w:spacing w:before="75" w:after="0"/>
      </w:pPr>
      <w:r>
        <w:rPr/>
        <w:t xml:space="preserve">图表：长沙磁浮快线reits客流量与现金流关系</w:t>
      </w:r>
    </w:p>
    <w:p>
      <w:pPr>
        <w:spacing w:before="75" w:after="0"/>
      </w:pPr>
      <w:r>
        <w:rPr/>
        <w:t xml:space="preserve">图表：湖南长沙磁浮国产化路径成本下降对比</w:t>
      </w:r>
    </w:p>
    <w:p>
      <w:pPr>
        <w:spacing w:before="75" w:after="0"/>
      </w:pPr>
      <w:r>
        <w:rPr/>
        <w:t xml:space="preserve">图表：公众对磁浮电磁辐射担忧指数细分群体对比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2026年中国磁悬浮交通行业发展现状及深度调研分析报告</dc:title>
  <dc:description>2026年中国磁悬浮交通行业发展现状及深度调研分析报告</dc:description>
  <dc:subject>2026年中国磁悬浮交通行业发展现状及深度调研分析报告</dc:subject>
  <cp:keywords>研究报告</cp:keywords>
  <cp:category>研究报告</cp:category>
  <cp:lastModifiedBy>北京中道泰和信息咨询有限公司</cp:lastModifiedBy>
  <dcterms:created xsi:type="dcterms:W3CDTF">2026-03-30T21:42:23+08:00</dcterms:created>
  <dcterms:modified xsi:type="dcterms:W3CDTF">2026-03-30T21:42:23+08:00</dcterms:modified>
</cp:coreProperties>
</file>

<file path=docProps/custom.xml><?xml version="1.0" encoding="utf-8"?>
<Properties xmlns="http://schemas.openxmlformats.org/officeDocument/2006/custom-properties" xmlns:vt="http://schemas.openxmlformats.org/officeDocument/2006/docPropsVTypes"/>
</file>