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2026-2031年中国算力基础设施行业全景调研及发展前景预测报告</w:t>
      </w:r>
    </w:p>
    <w:p>
      <w:pPr>
        <w:spacing w:after="150"/>
      </w:pPr>
      <w:r>
        <w:rPr>
          <w:b w:val="1"/>
          <w:bCs w:val="1"/>
        </w:rPr>
        <w:t xml:space="preserve">报告简介</w:t>
      </w:r>
    </w:p>
    <w:p>
      <w:pPr>
        <w:spacing w:after="150"/>
      </w:pPr>
      <w:r>
        <w:rPr/>
        <w:t xml:space="preserve">算力基础设施是指以数据中心、智能计算中心、边缘计算节点等为载体，以服务器、存储设备、网络设备、计算芯片等硬件为核心，融合云计算、人工智能、大数据等软件平台，向社会提供算力服务的综合性基础设施体系。其产业范畴涵盖通用算力、智能算力、超级算力及边缘算力等多元供给形态，涉及计算机体系结构、半导体技术、网络通信、制冷散热、能源电力、软件工程等多学科深度交叉，具有技术迭代极快、能耗密度极高、投资规模巨大、网络效应显著的显著特征。作为数字经济的底座与人工智能时代的核心生产力，算力基础设施不仅直接支撑科学研究、工业设计、金融交易、社会治理等千行百业的数字化转型，更是大模型训练推理、自动驾驶、元宇宙等前沿应用规模化落地的先决条件，其产业属性兼具战略基础设施的公共属性与高科技产业的竞争属性的双重特质。</w:t>
      </w:r>
    </w:p>
    <w:p>
      <w:pPr>
        <w:spacing w:after="150"/>
      </w:pPr>
      <w:r>
        <w:rPr/>
        <w:t xml:space="preserve">当前，中国算力基础设施行业正处于规模扩张与结构优化的关键转型期。在总体规模层面，全国算力总规模位居全球前列，数据中心机架数量持续快速增长，\"东数西算\"工程全面启动，八大枢纽节点、十大集群的算力网络架构初步形成，算力资源的空间布局与区域协同优化取得实质性进展。在技术架构层面，通用算力与智能算力需求结构深刻变化，人工智能大模型爆发式增长带动GPU、NPU等智能算力芯片及服务器需求激增，智算中心建设进入高峰期;液冷技术、高密度机柜、模块化数据中心等绿色节能技术加速应用，算力基础设施能效水平持续提升。在产业生态层面，云服务商、电信运营商、第三方数据中心运营商及地方国资平台多元主体竞争合作，算力服务从资源租赁向平台化、智能化、定制化服务演进。未来，算力基础设施行业将呈现智能算力主导与算力网络协同的深刻变革。在技术演进方向，智能算力占比将持续提升，国产AI芯片在性能、生态、可靠性方面取得突破，异构计算、存算一体、 Chiplet等先进封装技术缓解算力瓶颈;量子计算、光计算等前沿技术从实验室走向工程化，为算力基础设施的长期演进储备战略选项。在架构创新方向，边缘算力节点与中心算力设施协同布局，满足低时延、高带宽、数据主权等差异化需求;算力网络从概念走向落地，实现跨地域、跨主体、跨架构的算力资源统一调度与高效配置，算力像水电一样即取即用成为可能。在绿色低碳方向，\"算力\"与\"电力\"协同规划，可再生能源直供、余热回收利用、算电协同调度等模式创新，推动算力基础设施向零碳目标迈进;液冷技术从可选变为必选，数据中心电源使用效率(PUE)持续优化。在赋能应用方向，行业大模型训练与推理、科学智能计算、工业数字孪生、城市大脑等场景对算力的需求呈指数级增长，算力基础设施与算法、数据、场景的融合创新成为竞争焦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基础设施行业研究单位等公布和提供的大量资料。报告对我国算力基础设施行业的供需状况、发展现状、子行业发展变化等进行了分析，重点分析了国内外算力基础设施行业的发展现状、如何面对行业的发展挑战、行业的发展建议、行业竞争力，以及行业的投资分析和趋势预测等等。报告还综合了算力基础设施行业的整体发展动态，对行业在产品方面提供了参考建议和具体解决办法。报告对于算力基础设施产品生产企业、经销商、行业管理部门以及拟进入该行业的投资者具有重要的参考价值，对于研究我国算力基础设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算力基础设施行业研究概述</w:t>
      </w:r>
    </w:p>
    <w:p>
      <w:pPr>
        <w:spacing w:before="75" w:after="0"/>
      </w:pPr>
      <w:r>
        <w:rPr/>
        <w:t xml:space="preserve">第一节 算力基础设施定义及内涵</w:t>
      </w:r>
    </w:p>
    <w:p>
      <w:pPr>
        <w:spacing w:before="75" w:after="0"/>
      </w:pPr>
      <w:r>
        <w:rPr/>
        <w:t xml:space="preserve">一、算力基础设施的概念界定与系统构成</w:t>
      </w:r>
    </w:p>
    <w:p>
      <w:pPr>
        <w:spacing w:before="75" w:after="0"/>
      </w:pPr>
      <w:r>
        <w:rPr/>
        <w:t xml:space="preserve">二、算力基础设施与传统信息基础设施的区别</w:t>
      </w:r>
    </w:p>
    <w:p>
      <w:pPr>
        <w:spacing w:before="75" w:after="0"/>
      </w:pPr>
      <w:r>
        <w:rPr/>
        <w:t xml:space="preserve">三、算力基础设施与数据中心、智算中心的关系</w:t>
      </w:r>
    </w:p>
    <w:p>
      <w:pPr>
        <w:spacing w:before="75" w:after="0"/>
      </w:pPr>
      <w:r>
        <w:rPr/>
        <w:t xml:space="preserve">第二节 算力基础设施产业链解析</w:t>
      </w:r>
    </w:p>
    <w:p>
      <w:pPr>
        <w:spacing w:before="75" w:after="0"/>
      </w:pPr>
      <w:r>
        <w:rPr/>
        <w:t xml:space="preserve">一、产业链上游：芯片、服务器与网络设备</w:t>
      </w:r>
    </w:p>
    <w:p>
      <w:pPr>
        <w:spacing w:before="75" w:after="0"/>
      </w:pPr>
      <w:r>
        <w:rPr/>
        <w:t xml:space="preserve">二、产业链中游：算力中心建设与运营</w:t>
      </w:r>
    </w:p>
    <w:p>
      <w:pPr>
        <w:spacing w:before="75" w:after="0"/>
      </w:pPr>
      <w:r>
        <w:rPr/>
        <w:t xml:space="preserve">三、产业链下游：算力服务与行业应用</w:t>
      </w:r>
    </w:p>
    <w:p>
      <w:pPr>
        <w:spacing w:before="75" w:after="0"/>
      </w:pPr>
      <w:r>
        <w:rPr/>
        <w:t xml:space="preserve">第三节 研究范围与方法</w:t>
      </w:r>
    </w:p>
    <w:p>
      <w:pPr>
        <w:spacing w:before="75" w:after="0"/>
      </w:pPr>
      <w:r>
        <w:rPr/>
        <w:t xml:space="preserve">一、研究边界与细分领域界定</w:t>
      </w:r>
    </w:p>
    <w:p>
      <w:pPr>
        <w:spacing w:before="75" w:after="0"/>
      </w:pPr>
      <w:r>
        <w:rPr/>
        <w:t xml:space="preserve">二、数据来源与调研方法说明</w:t>
      </w:r>
    </w:p>
    <w:p>
      <w:pPr>
        <w:spacing w:before="75" w:after="0"/>
      </w:pPr>
      <w:r>
        <w:rPr/>
        <w:t xml:space="preserve">三、报告研究框架与价值导向</w:t>
      </w:r>
    </w:p>
    <w:p>
      <w:pPr>
        <w:spacing w:before="75" w:after="0"/>
      </w:pPr>
      <w:r>
        <w:rPr>
          <w:b w:val="1"/>
          <w:bCs w:val="1"/>
        </w:rPr>
        <w:t xml:space="preserve">第二章 全球算力基础设施市场发展现状</w:t>
      </w:r>
    </w:p>
    <w:p>
      <w:pPr>
        <w:spacing w:before="75" w:after="0"/>
      </w:pPr>
      <w:r>
        <w:rPr/>
        <w:t xml:space="preserve">第一节 全球算力规模与增长</w:t>
      </w:r>
    </w:p>
    <w:p>
      <w:pPr>
        <w:spacing w:before="75" w:after="0"/>
      </w:pPr>
      <w:r>
        <w:rPr/>
        <w:t xml:space="preserve">一、2023-2025年全球算力总规模</w:t>
      </w:r>
    </w:p>
    <w:p>
      <w:pPr>
        <w:spacing w:before="75" w:after="0"/>
      </w:pPr>
      <w:r>
        <w:rPr/>
        <w:t xml:space="preserve">二、主要国家算力发展水平对比</w:t>
      </w:r>
    </w:p>
    <w:p>
      <w:pPr>
        <w:spacing w:before="75" w:after="0"/>
      </w:pPr>
      <w:r>
        <w:rPr/>
        <w:t xml:space="preserve">三、2026-2031年全球算力增长预测</w:t>
      </w:r>
    </w:p>
    <w:p>
      <w:pPr>
        <w:spacing w:before="75" w:after="0"/>
      </w:pPr>
      <w:r>
        <w:rPr/>
        <w:t xml:space="preserve">第二节 国际算力基础设施布局</w:t>
      </w:r>
    </w:p>
    <w:p>
      <w:pPr>
        <w:spacing w:before="75" w:after="0"/>
      </w:pPr>
      <w:r>
        <w:rPr/>
        <w:t xml:space="preserve">一、美国超大规模数据中心建设</w:t>
      </w:r>
    </w:p>
    <w:p>
      <w:pPr>
        <w:spacing w:before="75" w:after="0"/>
      </w:pPr>
      <w:r>
        <w:rPr/>
        <w:t xml:space="preserve">二、欧洲算力网络与主权云战略</w:t>
      </w:r>
    </w:p>
    <w:p>
      <w:pPr>
        <w:spacing w:before="75" w:after="0"/>
      </w:pPr>
      <w:r>
        <w:rPr/>
        <w:t xml:space="preserve">三、亚太算力枢纽竞争态势</w:t>
      </w:r>
    </w:p>
    <w:p>
      <w:pPr>
        <w:spacing w:before="75" w:after="0"/>
      </w:pPr>
      <w:r>
        <w:rPr/>
        <w:t xml:space="preserve">第三节 全球技术发展趋势</w:t>
      </w:r>
    </w:p>
    <w:p>
      <w:pPr>
        <w:spacing w:before="75" w:after="0"/>
      </w:pPr>
      <w:r>
        <w:rPr/>
        <w:t xml:space="preserve">一、ai算力需求爆发式增长</w:t>
      </w:r>
    </w:p>
    <w:p>
      <w:pPr>
        <w:spacing w:before="75" w:after="0"/>
      </w:pPr>
      <w:r>
        <w:rPr/>
        <w:t xml:space="preserve">二、边缘计算与分布式算力</w:t>
      </w:r>
    </w:p>
    <w:p>
      <w:pPr>
        <w:spacing w:before="75" w:after="0"/>
      </w:pPr>
      <w:r>
        <w:rPr/>
        <w:t xml:space="preserve">三、量子计算与新型算力前瞻</w:t>
      </w:r>
    </w:p>
    <w:p>
      <w:pPr>
        <w:spacing w:before="75" w:after="0"/>
      </w:pPr>
      <w:r>
        <w:rPr>
          <w:b w:val="1"/>
          <w:bCs w:val="1"/>
        </w:rPr>
        <w:t xml:space="preserve">第三章 中国算力基础设施发展环境分析</w:t>
      </w:r>
    </w:p>
    <w:p>
      <w:pPr>
        <w:spacing w:before="75" w:after="0"/>
      </w:pPr>
      <w:r>
        <w:rPr/>
        <w:t xml:space="preserve">第一节 政策环境分析</w:t>
      </w:r>
    </w:p>
    <w:p>
      <w:pPr>
        <w:spacing w:before="75" w:after="0"/>
      </w:pPr>
      <w:r>
        <w:rPr/>
        <w:t xml:space="preserve">一、数字中国战略与算力规划</w:t>
      </w:r>
    </w:p>
    <w:p>
      <w:pPr>
        <w:spacing w:before="75" w:after="0"/>
      </w:pPr>
      <w:r>
        <w:rPr/>
        <w:t xml:space="preserve">二、东数西算工程政策体系</w:t>
      </w:r>
    </w:p>
    <w:p>
      <w:pPr>
        <w:spacing w:before="75" w:after="0"/>
      </w:pPr>
      <w:r>
        <w:rPr/>
        <w:t xml:space="preserve">三、新基建与算力网络政策</w:t>
      </w:r>
    </w:p>
    <w:p>
      <w:pPr>
        <w:spacing w:before="75" w:after="0"/>
      </w:pPr>
      <w:r>
        <w:rPr/>
        <w:t xml:space="preserve">第二节 经济环境分析</w:t>
      </w:r>
    </w:p>
    <w:p>
      <w:pPr>
        <w:spacing w:before="75" w:after="0"/>
      </w:pPr>
      <w:r>
        <w:rPr/>
        <w:t xml:space="preserve">一、数字经济规模与算力需求</w:t>
      </w:r>
    </w:p>
    <w:p>
      <w:pPr>
        <w:spacing w:before="75" w:after="0"/>
      </w:pPr>
      <w:r>
        <w:rPr/>
        <w:t xml:space="preserve">二、算力投资与产业链产值</w:t>
      </w:r>
    </w:p>
    <w:p>
      <w:pPr>
        <w:spacing w:before="75" w:after="0"/>
      </w:pPr>
      <w:r>
        <w:rPr/>
        <w:t xml:space="preserve">三、算力成本与价格形成机制</w:t>
      </w:r>
    </w:p>
    <w:p>
      <w:pPr>
        <w:spacing w:before="75" w:after="0"/>
      </w:pPr>
      <w:r>
        <w:rPr/>
        <w:t xml:space="preserve">第三节 社会环境分析</w:t>
      </w:r>
    </w:p>
    <w:p>
      <w:pPr>
        <w:spacing w:before="75" w:after="0"/>
      </w:pPr>
      <w:r>
        <w:rPr/>
        <w:t xml:space="preserve">一、数字化转型与智能化升级</w:t>
      </w:r>
    </w:p>
    <w:p>
      <w:pPr>
        <w:spacing w:before="75" w:after="0"/>
      </w:pPr>
      <w:r>
        <w:rPr/>
        <w:t xml:space="preserve">二、大模型与aigc算力消耗</w:t>
      </w:r>
    </w:p>
    <w:p>
      <w:pPr>
        <w:spacing w:before="75" w:after="0"/>
      </w:pPr>
      <w:r>
        <w:rPr/>
        <w:t xml:space="preserve">三、算力普惠与数字鸿沟治理</w:t>
      </w:r>
    </w:p>
    <w:p>
      <w:pPr>
        <w:spacing w:before="75" w:after="0"/>
      </w:pPr>
      <w:r>
        <w:rPr/>
        <w:t xml:space="preserve">第四节 技术环境分析</w:t>
      </w:r>
    </w:p>
    <w:p>
      <w:pPr>
        <w:spacing w:before="75" w:after="0"/>
      </w:pPr>
      <w:r>
        <w:rPr/>
        <w:t xml:space="preserve">一、国产芯片与服务器技术突破</w:t>
      </w:r>
    </w:p>
    <w:p>
      <w:pPr>
        <w:spacing w:before="75" w:after="0"/>
      </w:pPr>
      <w:r>
        <w:rPr/>
        <w:t xml:space="preserve">二、高速网络与算力互联技术</w:t>
      </w:r>
    </w:p>
    <w:p>
      <w:pPr>
        <w:spacing w:before="75" w:after="0"/>
      </w:pPr>
      <w:r>
        <w:rPr/>
        <w:t xml:space="preserve">三、绿色节能与液冷技术成熟</w:t>
      </w:r>
    </w:p>
    <w:p>
      <w:pPr>
        <w:spacing w:before="75" w:after="0"/>
      </w:pPr>
      <w:r>
        <w:rPr>
          <w:b w:val="1"/>
          <w:bCs w:val="1"/>
        </w:rPr>
        <w:t xml:space="preserve">第四章 中国算力基础设施发展历程与现状</w:t>
      </w:r>
    </w:p>
    <w:p>
      <w:pPr>
        <w:spacing w:before="75" w:after="0"/>
      </w:pPr>
      <w:r>
        <w:rPr/>
        <w:t xml:space="preserve">第一节 数据中心建设时期</w:t>
      </w:r>
    </w:p>
    <w:p>
      <w:pPr>
        <w:spacing w:before="75" w:after="0"/>
      </w:pPr>
      <w:r>
        <w:rPr/>
        <w:t xml:space="preserve">一、互联网数据中心规模扩张</w:t>
      </w:r>
    </w:p>
    <w:p>
      <w:pPr>
        <w:spacing w:before="75" w:after="0"/>
      </w:pPr>
      <w:r>
        <w:rPr/>
        <w:t xml:space="preserve">二、云计算数据中心布局优化</w:t>
      </w:r>
    </w:p>
    <w:p>
      <w:pPr>
        <w:spacing w:before="75" w:after="0"/>
      </w:pPr>
      <w:r>
        <w:rPr/>
        <w:t xml:space="preserve">三、idc行业规范化发展</w:t>
      </w:r>
    </w:p>
    <w:p>
      <w:pPr>
        <w:spacing w:before="75" w:after="0"/>
      </w:pPr>
      <w:r>
        <w:rPr/>
        <w:t xml:space="preserve">第二节 算力统筹布局时期</w:t>
      </w:r>
    </w:p>
    <w:p>
      <w:pPr>
        <w:spacing w:before="75" w:after="0"/>
      </w:pPr>
      <w:r>
        <w:rPr/>
        <w:t xml:space="preserve">一、全国一体化算力网络构想</w:t>
      </w:r>
    </w:p>
    <w:p>
      <w:pPr>
        <w:spacing w:before="75" w:after="0"/>
      </w:pPr>
      <w:r>
        <w:rPr/>
        <w:t xml:space="preserve">二、东数西算工程启动实施</w:t>
      </w:r>
    </w:p>
    <w:p>
      <w:pPr>
        <w:spacing w:before="75" w:after="0"/>
      </w:pPr>
      <w:r>
        <w:rPr/>
        <w:t xml:space="preserve">三、算力枢纽与集群建设</w:t>
      </w:r>
    </w:p>
    <w:p>
      <w:pPr>
        <w:spacing w:before="75" w:after="0"/>
      </w:pPr>
      <w:r>
        <w:rPr/>
        <w:t xml:space="preserve">第三节 智算中心崛起时期</w:t>
      </w:r>
    </w:p>
    <w:p>
      <w:pPr>
        <w:spacing w:before="75" w:after="0"/>
      </w:pPr>
      <w:r>
        <w:rPr/>
        <w:t xml:space="preserve">一、人工智能算力需求激增</w:t>
      </w:r>
    </w:p>
    <w:p>
      <w:pPr>
        <w:spacing w:before="75" w:after="0"/>
      </w:pPr>
      <w:r>
        <w:rPr/>
        <w:t xml:space="preserve">二、智算中心大规模建设</w:t>
      </w:r>
    </w:p>
    <w:p>
      <w:pPr>
        <w:spacing w:before="75" w:after="0"/>
      </w:pPr>
      <w:r>
        <w:rPr/>
        <w:t xml:space="preserve">三、通算、智算、超算融合</w:t>
      </w:r>
    </w:p>
    <w:p>
      <w:pPr>
        <w:spacing w:before="75" w:after="0"/>
      </w:pPr>
      <w:r>
        <w:rPr/>
        <w:t xml:space="preserve">第四节 发展现状评估</w:t>
      </w:r>
    </w:p>
    <w:p>
      <w:pPr>
        <w:spacing w:before="75" w:after="0"/>
      </w:pPr>
      <w:r>
        <w:rPr/>
        <w:t xml:space="preserve">一、算力总规模与结构</w:t>
      </w:r>
    </w:p>
    <w:p>
      <w:pPr>
        <w:spacing w:before="75" w:after="0"/>
      </w:pPr>
      <w:r>
        <w:rPr/>
        <w:t xml:space="preserve">二、算力中心数量与分布</w:t>
      </w:r>
    </w:p>
    <w:p>
      <w:pPr>
        <w:spacing w:before="75" w:after="0"/>
      </w:pPr>
      <w:r>
        <w:rPr/>
        <w:t xml:space="preserve">三、算力网络与调度能力</w:t>
      </w:r>
    </w:p>
    <w:p>
      <w:pPr>
        <w:spacing w:before="75" w:after="0"/>
      </w:pPr>
      <w:r>
        <w:rPr>
          <w:b w:val="1"/>
          <w:bCs w:val="1"/>
        </w:rPr>
        <w:t xml:space="preserve">第五章 中国算力基础设施市场规模与结构</w:t>
      </w:r>
    </w:p>
    <w:p>
      <w:pPr>
        <w:spacing w:before="75" w:after="0"/>
      </w:pPr>
      <w:r>
        <w:rPr/>
        <w:t xml:space="preserve">第一节 整体市场规模测算</w:t>
      </w:r>
    </w:p>
    <w:p>
      <w:pPr>
        <w:spacing w:before="75" w:after="0"/>
      </w:pPr>
      <w:r>
        <w:rPr/>
        <w:t xml:space="preserve">一、2023-2025年算力基础设施投资</w:t>
      </w:r>
    </w:p>
    <w:p>
      <w:pPr>
        <w:spacing w:before="75" w:after="0"/>
      </w:pPr>
      <w:r>
        <w:rPr/>
        <w:t xml:space="preserve">二、2023-2025年算力服务市场规模</w:t>
      </w:r>
    </w:p>
    <w:p>
      <w:pPr>
        <w:spacing w:before="75" w:after="0"/>
      </w:pPr>
      <w:r>
        <w:rPr/>
        <w:t xml:space="preserve">三、2026-2031年市场规模预测</w:t>
      </w:r>
    </w:p>
    <w:p>
      <w:pPr>
        <w:spacing w:before="75" w:after="0"/>
      </w:pPr>
      <w:r>
        <w:rPr/>
        <w:t xml:space="preserve">第二节 算力类型结构</w:t>
      </w:r>
    </w:p>
    <w:p>
      <w:pPr>
        <w:spacing w:before="75" w:after="0"/>
      </w:pPr>
      <w:r>
        <w:rPr/>
        <w:t xml:space="preserve">一、通用算力市场容量分析</w:t>
      </w:r>
    </w:p>
    <w:p>
      <w:pPr>
        <w:spacing w:before="75" w:after="0"/>
      </w:pPr>
      <w:r>
        <w:rPr/>
        <w:t xml:space="preserve">二、智能算力市场容量分析</w:t>
      </w:r>
    </w:p>
    <w:p>
      <w:pPr>
        <w:spacing w:before="75" w:after="0"/>
      </w:pPr>
      <w:r>
        <w:rPr/>
        <w:t xml:space="preserve">三、超级算力市场容量分析</w:t>
      </w:r>
    </w:p>
    <w:p>
      <w:pPr>
        <w:spacing w:before="75" w:after="0"/>
      </w:pPr>
      <w:r>
        <w:rPr/>
        <w:t xml:space="preserve">四、边缘算力市场容量分析</w:t>
      </w:r>
    </w:p>
    <w:p>
      <w:pPr>
        <w:spacing w:before="75" w:after="0"/>
      </w:pPr>
      <w:r>
        <w:rPr/>
        <w:t xml:space="preserve">第三节 区域布局结构</w:t>
      </w:r>
    </w:p>
    <w:p>
      <w:pPr>
        <w:spacing w:before="75" w:after="0"/>
      </w:pPr>
      <w:r>
        <w:rPr/>
        <w:t xml:space="preserve">一、八大算力枢纽节点</w:t>
      </w:r>
    </w:p>
    <w:p>
      <w:pPr>
        <w:spacing w:before="75" w:after="0"/>
      </w:pPr>
      <w:r>
        <w:rPr/>
        <w:t xml:space="preserve">二、十大数据中心集群</w:t>
      </w:r>
    </w:p>
    <w:p>
      <w:pPr>
        <w:spacing w:before="75" w:after="0"/>
      </w:pPr>
      <w:r>
        <w:rPr/>
        <w:t xml:space="preserve">三、边缘算力节点分布</w:t>
      </w:r>
    </w:p>
    <w:p>
      <w:pPr>
        <w:spacing w:before="75" w:after="0"/>
      </w:pPr>
      <w:r>
        <w:rPr>
          <w:b w:val="1"/>
          <w:bCs w:val="1"/>
        </w:rPr>
        <w:t xml:space="preserve">第六章 通用算力基础设施深度分析</w:t>
      </w:r>
    </w:p>
    <w:p>
      <w:pPr>
        <w:spacing w:before="75" w:after="0"/>
      </w:pPr>
      <w:r>
        <w:rPr/>
        <w:t xml:space="preserve">第一节 数据中心建设</w:t>
      </w:r>
    </w:p>
    <w:p>
      <w:pPr>
        <w:spacing w:before="75" w:after="0"/>
      </w:pPr>
      <w:r>
        <w:rPr/>
        <w:t xml:space="preserve">一、超大规模数据中心布局</w:t>
      </w:r>
    </w:p>
    <w:p>
      <w:pPr>
        <w:spacing w:before="75" w:after="0"/>
      </w:pPr>
      <w:r>
        <w:rPr/>
        <w:t xml:space="preserve">二、中小型数据中心转型</w:t>
      </w:r>
    </w:p>
    <w:p>
      <w:pPr>
        <w:spacing w:before="75" w:after="0"/>
      </w:pPr>
      <w:r>
        <w:rPr/>
        <w:t xml:space="preserve">三、模块化与预制化建设</w:t>
      </w:r>
    </w:p>
    <w:p>
      <w:pPr>
        <w:spacing w:before="75" w:after="0"/>
      </w:pPr>
      <w:r>
        <w:rPr/>
        <w:t xml:space="preserve">第二节 服务器与存储</w:t>
      </w:r>
    </w:p>
    <w:p>
      <w:pPr>
        <w:spacing w:before="75" w:after="0"/>
      </w:pPr>
      <w:r>
        <w:rPr/>
        <w:t xml:space="preserve">一、x86服务器市场格局</w:t>
      </w:r>
    </w:p>
    <w:p>
      <w:pPr>
        <w:spacing w:before="75" w:after="0"/>
      </w:pPr>
      <w:r>
        <w:rPr/>
        <w:t xml:space="preserve">二、arm服务器崛起态势</w:t>
      </w:r>
    </w:p>
    <w:p>
      <w:pPr>
        <w:spacing w:before="75" w:after="0"/>
      </w:pPr>
      <w:r>
        <w:rPr/>
        <w:t xml:space="preserve">三、分布式存储与软件定义</w:t>
      </w:r>
    </w:p>
    <w:p>
      <w:pPr>
        <w:spacing w:before="75" w:after="0"/>
      </w:pPr>
      <w:r>
        <w:rPr/>
        <w:t xml:space="preserve">第三节 云计算算力服务</w:t>
      </w:r>
    </w:p>
    <w:p>
      <w:pPr>
        <w:spacing w:before="75" w:after="0"/>
      </w:pPr>
      <w:r>
        <w:rPr/>
        <w:t xml:space="preserve">一、公有云算力服务规模</w:t>
      </w:r>
    </w:p>
    <w:p>
      <w:pPr>
        <w:spacing w:before="75" w:after="0"/>
      </w:pPr>
      <w:r>
        <w:rPr/>
        <w:t xml:space="preserve">二、私有云与混合云部署</w:t>
      </w:r>
    </w:p>
    <w:p>
      <w:pPr>
        <w:spacing w:before="75" w:after="0"/>
      </w:pPr>
      <w:r>
        <w:rPr/>
        <w:t xml:space="preserve">三、云原生与容器化算力</w:t>
      </w:r>
    </w:p>
    <w:p>
      <w:pPr>
        <w:spacing w:before="75" w:after="0"/>
      </w:pPr>
      <w:r>
        <w:rPr>
          <w:b w:val="1"/>
          <w:bCs w:val="1"/>
        </w:rPr>
        <w:t xml:space="preserve">第七章 智能算力基础设施深度分析</w:t>
      </w:r>
    </w:p>
    <w:p>
      <w:pPr>
        <w:spacing w:before="75" w:after="0"/>
      </w:pPr>
      <w:r>
        <w:rPr/>
        <w:t xml:space="preserve">第一节 智算中心建设</w:t>
      </w:r>
    </w:p>
    <w:p>
      <w:pPr>
        <w:spacing w:before="75" w:after="0"/>
      </w:pPr>
      <w:r>
        <w:rPr/>
        <w:t xml:space="preserve">一、智算中心规划与投运规模</w:t>
      </w:r>
    </w:p>
    <w:p>
      <w:pPr>
        <w:spacing w:before="75" w:after="0"/>
      </w:pPr>
      <w:r>
        <w:rPr/>
        <w:t xml:space="preserve">二、万卡集群与超大规模训练</w:t>
      </w:r>
    </w:p>
    <w:p>
      <w:pPr>
        <w:spacing w:before="75" w:after="0"/>
      </w:pPr>
      <w:r>
        <w:rPr/>
        <w:t xml:space="preserve">三、国产ai芯片算力占比</w:t>
      </w:r>
    </w:p>
    <w:p>
      <w:pPr>
        <w:spacing w:before="75" w:after="0"/>
      </w:pPr>
      <w:r>
        <w:rPr/>
        <w:t xml:space="preserve">第二节 ai服务器与加速卡</w:t>
      </w:r>
    </w:p>
    <w:p>
      <w:pPr>
        <w:spacing w:before="75" w:after="0"/>
      </w:pPr>
      <w:r>
        <w:rPr/>
        <w:t xml:space="preserve">一、gpu服务器市场格局</w:t>
      </w:r>
    </w:p>
    <w:p>
      <w:pPr>
        <w:spacing w:before="75" w:after="0"/>
      </w:pPr>
      <w:r>
        <w:rPr/>
        <w:t xml:space="preserve">二、国产ai芯片性能突破</w:t>
      </w:r>
    </w:p>
    <w:p>
      <w:pPr>
        <w:spacing w:before="75" w:after="0"/>
      </w:pPr>
      <w:r>
        <w:rPr/>
        <w:t xml:space="preserve">三、异构计算与算力调度</w:t>
      </w:r>
    </w:p>
    <w:p>
      <w:pPr>
        <w:spacing w:before="75" w:after="0"/>
      </w:pPr>
      <w:r>
        <w:rPr/>
        <w:t xml:space="preserve">第三节 大模型算力支撑</w:t>
      </w:r>
    </w:p>
    <w:p>
      <w:pPr>
        <w:spacing w:before="75" w:after="0"/>
      </w:pPr>
      <w:r>
        <w:rPr/>
        <w:t xml:space="preserve">一、训练算力与推理算力需求</w:t>
      </w:r>
    </w:p>
    <w:p>
      <w:pPr>
        <w:spacing w:before="75" w:after="0"/>
      </w:pPr>
      <w:r>
        <w:rPr/>
        <w:t xml:space="preserve">二、算力租赁与云服务模式</w:t>
      </w:r>
    </w:p>
    <w:p>
      <w:pPr>
        <w:spacing w:before="75" w:after="0"/>
      </w:pPr>
      <w:r>
        <w:rPr/>
        <w:t xml:space="preserve">三、模型即服务与算力协同</w:t>
      </w:r>
    </w:p>
    <w:p>
      <w:pPr>
        <w:spacing w:before="75" w:after="0"/>
      </w:pPr>
      <w:r>
        <w:rPr>
          <w:b w:val="1"/>
          <w:bCs w:val="1"/>
        </w:rPr>
        <w:t xml:space="preserve">第八章 超级算力与科学计算</w:t>
      </w:r>
    </w:p>
    <w:p>
      <w:pPr>
        <w:spacing w:before="75" w:after="0"/>
      </w:pPr>
      <w:r>
        <w:rPr/>
        <w:t xml:space="preserve">第一节 超算中心建设运营</w:t>
      </w:r>
    </w:p>
    <w:p>
      <w:pPr>
        <w:spacing w:before="75" w:after="0"/>
      </w:pPr>
      <w:r>
        <w:rPr/>
        <w:t xml:space="preserve">一、国家超算中心布局与能力</w:t>
      </w:r>
    </w:p>
    <w:p>
      <w:pPr>
        <w:spacing w:before="75" w:after="0"/>
      </w:pPr>
      <w:r>
        <w:rPr/>
        <w:t xml:space="preserve">二、新一代e级超算部署</w:t>
      </w:r>
    </w:p>
    <w:p>
      <w:pPr>
        <w:spacing w:before="75" w:after="0"/>
      </w:pPr>
      <w:r>
        <w:rPr/>
        <w:t xml:space="preserve">三、超算商业化服务模式</w:t>
      </w:r>
    </w:p>
    <w:p>
      <w:pPr>
        <w:spacing w:before="75" w:after="0"/>
      </w:pPr>
      <w:r>
        <w:rPr/>
        <w:t xml:space="preserve">第二节 量子计算基础设施</w:t>
      </w:r>
    </w:p>
    <w:p>
      <w:pPr>
        <w:spacing w:before="75" w:after="0"/>
      </w:pPr>
      <w:r>
        <w:rPr/>
        <w:t xml:space="preserve">一、量子计算机技术路线</w:t>
      </w:r>
    </w:p>
    <w:p>
      <w:pPr>
        <w:spacing w:before="75" w:after="0"/>
      </w:pPr>
      <w:r>
        <w:rPr/>
        <w:t xml:space="preserve">二、量子计算云平台服务</w:t>
      </w:r>
    </w:p>
    <w:p>
      <w:pPr>
        <w:spacing w:before="75" w:after="0"/>
      </w:pPr>
      <w:r>
        <w:rPr/>
        <w:t xml:space="preserve">三、量子-经典混合计算</w:t>
      </w:r>
    </w:p>
    <w:p>
      <w:pPr>
        <w:spacing w:before="75" w:after="0"/>
      </w:pPr>
      <w:r>
        <w:rPr/>
        <w:t xml:space="preserve">第三节 算力网络与调度</w:t>
      </w:r>
    </w:p>
    <w:p>
      <w:pPr>
        <w:spacing w:before="75" w:after="0"/>
      </w:pPr>
      <w:r>
        <w:rPr/>
        <w:t xml:space="preserve">一、国家算力网架构设计</w:t>
      </w:r>
    </w:p>
    <w:p>
      <w:pPr>
        <w:spacing w:before="75" w:after="0"/>
      </w:pPr>
      <w:r>
        <w:rPr/>
        <w:t xml:space="preserve">二、算力标识与交易机制</w:t>
      </w:r>
    </w:p>
    <w:p>
      <w:pPr>
        <w:spacing w:before="75" w:after="0"/>
      </w:pPr>
      <w:r>
        <w:rPr/>
        <w:t xml:space="preserve">三、算力调度与负载均衡</w:t>
      </w:r>
    </w:p>
    <w:p>
      <w:pPr>
        <w:spacing w:before="75" w:after="0"/>
      </w:pPr>
      <w:r>
        <w:rPr>
          <w:b w:val="1"/>
          <w:bCs w:val="1"/>
        </w:rPr>
        <w:t xml:space="preserve">第九章 边缘算力与端侧算力</w:t>
      </w:r>
    </w:p>
    <w:p>
      <w:pPr>
        <w:spacing w:before="75" w:after="0"/>
      </w:pPr>
      <w:r>
        <w:rPr/>
        <w:t xml:space="preserve">第一节 边缘数据中心</w:t>
      </w:r>
    </w:p>
    <w:p>
      <w:pPr>
        <w:spacing w:before="75" w:after="0"/>
      </w:pPr>
      <w:r>
        <w:rPr/>
        <w:t xml:space="preserve">一、边缘节点布局与建设</w:t>
      </w:r>
    </w:p>
    <w:p>
      <w:pPr>
        <w:spacing w:before="75" w:after="0"/>
      </w:pPr>
      <w:r>
        <w:rPr/>
        <w:t xml:space="preserve">二、云边协同与边边协同</w:t>
      </w:r>
    </w:p>
    <w:p>
      <w:pPr>
        <w:spacing w:before="75" w:after="0"/>
      </w:pPr>
      <w:r>
        <w:rPr/>
        <w:t xml:space="preserve">三、边缘算力与5g融合</w:t>
      </w:r>
    </w:p>
    <w:p>
      <w:pPr>
        <w:spacing w:before="75" w:after="0"/>
      </w:pPr>
      <w:r>
        <w:rPr/>
        <w:t xml:space="preserve">第二节 工业互联网算力</w:t>
      </w:r>
    </w:p>
    <w:p>
      <w:pPr>
        <w:spacing w:before="75" w:after="0"/>
      </w:pPr>
      <w:r>
        <w:rPr/>
        <w:t xml:space="preserve">一、工业边缘计算网关</w:t>
      </w:r>
    </w:p>
    <w:p>
      <w:pPr>
        <w:spacing w:before="75" w:after="0"/>
      </w:pPr>
      <w:r>
        <w:rPr/>
        <w:t xml:space="preserve">二、工厂级算力中心</w:t>
      </w:r>
    </w:p>
    <w:p>
      <w:pPr>
        <w:spacing w:before="75" w:after="0"/>
      </w:pPr>
      <w:r>
        <w:rPr/>
        <w:t xml:space="preserve">三、设备端侧算力嵌入</w:t>
      </w:r>
    </w:p>
    <w:p>
      <w:pPr>
        <w:spacing w:before="75" w:after="0"/>
      </w:pPr>
      <w:r>
        <w:rPr/>
        <w:t xml:space="preserve">第三节 车联网与智能终端</w:t>
      </w:r>
    </w:p>
    <w:p>
      <w:pPr>
        <w:spacing w:before="75" w:after="0"/>
      </w:pPr>
      <w:r>
        <w:rPr/>
        <w:t xml:space="preserve">一、车路协同边缘算力</w:t>
      </w:r>
    </w:p>
    <w:p>
      <w:pPr>
        <w:spacing w:before="75" w:after="0"/>
      </w:pPr>
      <w:r>
        <w:rPr/>
        <w:t xml:space="preserve">二、智能终端算力提升</w:t>
      </w:r>
    </w:p>
    <w:p>
      <w:pPr>
        <w:spacing w:before="75" w:after="0"/>
      </w:pPr>
      <w:r>
        <w:rPr/>
        <w:t xml:space="preserve">三、端云协同计算架构</w:t>
      </w:r>
    </w:p>
    <w:p>
      <w:pPr>
        <w:spacing w:before="75" w:after="0"/>
      </w:pPr>
      <w:r>
        <w:rPr>
          <w:b w:val="1"/>
          <w:bCs w:val="1"/>
        </w:rPr>
        <w:t xml:space="preserve">第十章 算力网络与互联技术</w:t>
      </w:r>
    </w:p>
    <w:p>
      <w:pPr>
        <w:spacing w:before="75" w:after="0"/>
      </w:pPr>
      <w:r>
        <w:rPr/>
        <w:t xml:space="preserve">第一节 高速网络基础设施</w:t>
      </w:r>
    </w:p>
    <w:p>
      <w:pPr>
        <w:spacing w:before="75" w:after="0"/>
      </w:pPr>
      <w:r>
        <w:rPr/>
        <w:t xml:space="preserve">一、400g/800g光网络部署</w:t>
      </w:r>
    </w:p>
    <w:p>
      <w:pPr>
        <w:spacing w:before="75" w:after="0"/>
      </w:pPr>
      <w:r>
        <w:rPr/>
        <w:t xml:space="preserve">二、全光网与确定性网络</w:t>
      </w:r>
    </w:p>
    <w:p>
      <w:pPr>
        <w:spacing w:before="75" w:after="0"/>
      </w:pPr>
      <w:r>
        <w:rPr/>
        <w:t xml:space="preserve">三、算网融合与sd-wan</w:t>
      </w:r>
    </w:p>
    <w:p>
      <w:pPr>
        <w:spacing w:before="75" w:after="0"/>
      </w:pPr>
      <w:r>
        <w:rPr/>
        <w:t xml:space="preserve">第二节 算力互联协议</w:t>
      </w:r>
    </w:p>
    <w:p>
      <w:pPr>
        <w:spacing w:before="75" w:after="0"/>
      </w:pPr>
      <w:r>
        <w:rPr/>
        <w:t xml:space="preserve">一、算力网络协议体系</w:t>
      </w:r>
    </w:p>
    <w:p>
      <w:pPr>
        <w:spacing w:before="75" w:after="0"/>
      </w:pPr>
      <w:r>
        <w:rPr/>
        <w:t xml:space="preserve">二、rdma与无损网络</w:t>
      </w:r>
    </w:p>
    <w:p>
      <w:pPr>
        <w:spacing w:before="75" w:after="0"/>
      </w:pPr>
      <w:r>
        <w:rPr/>
        <w:t xml:space="preserve">三、算力路由与寻址</w:t>
      </w:r>
    </w:p>
    <w:p>
      <w:pPr>
        <w:spacing w:before="75" w:after="0"/>
      </w:pPr>
      <w:r>
        <w:rPr/>
        <w:t xml:space="preserve">第三节 确定性算力保障</w:t>
      </w:r>
    </w:p>
    <w:p>
      <w:pPr>
        <w:spacing w:before="75" w:after="0"/>
      </w:pPr>
      <w:r>
        <w:rPr/>
        <w:t xml:space="preserve">一、低时延网络技术</w:t>
      </w:r>
    </w:p>
    <w:p>
      <w:pPr>
        <w:spacing w:before="75" w:after="0"/>
      </w:pPr>
      <w:r>
        <w:rPr/>
        <w:t xml:space="preserve">二、算力切片与隔离</w:t>
      </w:r>
    </w:p>
    <w:p>
      <w:pPr>
        <w:spacing w:before="75" w:after="0"/>
      </w:pPr>
      <w:r>
        <w:rPr/>
        <w:t xml:space="preserve">三、服务质量保障机制</w:t>
      </w:r>
    </w:p>
    <w:p>
      <w:pPr>
        <w:spacing w:before="75" w:after="0"/>
      </w:pPr>
      <w:r>
        <w:rPr>
          <w:b w:val="1"/>
          <w:bCs w:val="1"/>
        </w:rPr>
        <w:t xml:space="preserve">第十一章 绿色算力与节能技术</w:t>
      </w:r>
    </w:p>
    <w:p>
      <w:pPr>
        <w:spacing w:before="75" w:after="0"/>
      </w:pPr>
      <w:r>
        <w:rPr/>
        <w:t xml:space="preserve">第一节 算力能耗现状</w:t>
      </w:r>
    </w:p>
    <w:p>
      <w:pPr>
        <w:spacing w:before="75" w:after="0"/>
      </w:pPr>
      <w:r>
        <w:rPr/>
        <w:t xml:space="preserve">一、数据中心能耗规模</w:t>
      </w:r>
    </w:p>
    <w:p>
      <w:pPr>
        <w:spacing w:before="75" w:after="0"/>
      </w:pPr>
      <w:r>
        <w:rPr/>
        <w:t xml:space="preserve">二、pue水平与能效指标</w:t>
      </w:r>
    </w:p>
    <w:p>
      <w:pPr>
        <w:spacing w:before="75" w:after="0"/>
      </w:pPr>
      <w:r>
        <w:rPr/>
        <w:t xml:space="preserve">三、算力碳排放测算</w:t>
      </w:r>
    </w:p>
    <w:p>
      <w:pPr>
        <w:spacing w:before="75" w:after="0"/>
      </w:pPr>
      <w:r>
        <w:rPr/>
        <w:t xml:space="preserve">第二节 绿色节能技术</w:t>
      </w:r>
    </w:p>
    <w:p>
      <w:pPr>
        <w:spacing w:before="75" w:after="0"/>
      </w:pPr>
      <w:r>
        <w:rPr/>
        <w:t xml:space="preserve">一、液冷技术规模化应用</w:t>
      </w:r>
    </w:p>
    <w:p>
      <w:pPr>
        <w:spacing w:before="75" w:after="0"/>
      </w:pPr>
      <w:r>
        <w:rPr/>
        <w:t xml:space="preserve">二、自然冷却与余热利用</w:t>
      </w:r>
    </w:p>
    <w:p>
      <w:pPr>
        <w:spacing w:before="75" w:after="0"/>
      </w:pPr>
      <w:r>
        <w:rPr/>
        <w:t xml:space="preserve">三、可再生能源供电</w:t>
      </w:r>
    </w:p>
    <w:p>
      <w:pPr>
        <w:spacing w:before="75" w:after="0"/>
      </w:pPr>
      <w:r>
        <w:rPr/>
        <w:t xml:space="preserve">第三节 算力能效优化</w:t>
      </w:r>
    </w:p>
    <w:p>
      <w:pPr>
        <w:spacing w:before="75" w:after="0"/>
      </w:pPr>
      <w:r>
        <w:rPr/>
        <w:t xml:space="preserve">一、服务器能效提升</w:t>
      </w:r>
    </w:p>
    <w:p>
      <w:pPr>
        <w:spacing w:before="75" w:after="0"/>
      </w:pPr>
      <w:r>
        <w:rPr/>
        <w:t xml:space="preserve">二、工作负载优化调度</w:t>
      </w:r>
    </w:p>
    <w:p>
      <w:pPr>
        <w:spacing w:before="75" w:after="0"/>
      </w:pPr>
      <w:r>
        <w:rPr/>
        <w:t xml:space="preserve">三、算力与电力协同</w:t>
      </w:r>
    </w:p>
    <w:p>
      <w:pPr>
        <w:spacing w:before="75" w:after="0"/>
      </w:pPr>
      <w:r>
        <w:rPr>
          <w:b w:val="1"/>
          <w:bCs w:val="1"/>
        </w:rPr>
        <w:t xml:space="preserve">第十二章 算力基础设施区域发展格局</w:t>
      </w:r>
    </w:p>
    <w:p>
      <w:pPr>
        <w:spacing w:before="75" w:after="0"/>
      </w:pPr>
      <w:r>
        <w:rPr/>
        <w:t xml:space="preserve">第一节 京津冀枢纽</w:t>
      </w:r>
    </w:p>
    <w:p>
      <w:pPr>
        <w:spacing w:before="75" w:after="0"/>
      </w:pPr>
      <w:r>
        <w:rPr/>
        <w:t xml:space="preserve">一、北京算力中心布局优化</w:t>
      </w:r>
    </w:p>
    <w:p>
      <w:pPr>
        <w:spacing w:before="75" w:after="0"/>
      </w:pPr>
      <w:r>
        <w:rPr/>
        <w:t xml:space="preserve">二、张家口算力承接</w:t>
      </w:r>
    </w:p>
    <w:p>
      <w:pPr>
        <w:spacing w:before="75" w:after="0"/>
      </w:pPr>
      <w:r>
        <w:rPr/>
        <w:t xml:space="preserve">三、雄安算力创新</w:t>
      </w:r>
    </w:p>
    <w:p>
      <w:pPr>
        <w:spacing w:before="75" w:after="0"/>
      </w:pPr>
      <w:r>
        <w:rPr/>
        <w:t xml:space="preserve">第二节 长三角枢纽</w:t>
      </w:r>
    </w:p>
    <w:p>
      <w:pPr>
        <w:spacing w:before="75" w:after="0"/>
      </w:pPr>
      <w:r>
        <w:rPr/>
        <w:t xml:space="preserve">一、上海算力高地建设</w:t>
      </w:r>
    </w:p>
    <w:p>
      <w:pPr>
        <w:spacing w:before="75" w:after="0"/>
      </w:pPr>
      <w:r>
        <w:rPr/>
        <w:t xml:space="preserve">二、江苏浙江算力集群</w:t>
      </w:r>
    </w:p>
    <w:p>
      <w:pPr>
        <w:spacing w:before="75" w:after="0"/>
      </w:pPr>
      <w:r>
        <w:rPr/>
        <w:t xml:space="preserve">三、一体化算力调度</w:t>
      </w:r>
    </w:p>
    <w:p>
      <w:pPr>
        <w:spacing w:before="75" w:after="0"/>
      </w:pPr>
      <w:r>
        <w:rPr/>
        <w:t xml:space="preserve">第三节 粤港澳大湾区</w:t>
      </w:r>
    </w:p>
    <w:p>
      <w:pPr>
        <w:spacing w:before="75" w:after="0"/>
      </w:pPr>
      <w:r>
        <w:rPr/>
        <w:t xml:space="preserve">一、深圳广州智算中心</w:t>
      </w:r>
    </w:p>
    <w:p>
      <w:pPr>
        <w:spacing w:before="75" w:after="0"/>
      </w:pPr>
      <w:r>
        <w:rPr/>
        <w:t xml:space="preserve">二、港澳算力合作</w:t>
      </w:r>
    </w:p>
    <w:p>
      <w:pPr>
        <w:spacing w:before="75" w:after="0"/>
      </w:pPr>
      <w:r>
        <w:rPr/>
        <w:t xml:space="preserve">三、国际算力枢纽</w:t>
      </w:r>
    </w:p>
    <w:p>
      <w:pPr>
        <w:spacing w:before="75" w:after="0"/>
      </w:pPr>
      <w:r>
        <w:rPr/>
        <w:t xml:space="preserve">第四节 成渝与西部枢纽</w:t>
      </w:r>
    </w:p>
    <w:p>
      <w:pPr>
        <w:spacing w:before="75" w:after="0"/>
      </w:pPr>
      <w:r>
        <w:rPr/>
        <w:t xml:space="preserve">一、天府数据中心集群</w:t>
      </w:r>
    </w:p>
    <w:p>
      <w:pPr>
        <w:spacing w:before="75" w:after="0"/>
      </w:pPr>
      <w:r>
        <w:rPr/>
        <w:t xml:space="preserve">二、重庆算力承接</w:t>
      </w:r>
    </w:p>
    <w:p>
      <w:pPr>
        <w:spacing w:before="75" w:after="0"/>
      </w:pPr>
      <w:r>
        <w:rPr/>
        <w:t xml:space="preserve">三、西部枢纽集群布局</w:t>
      </w:r>
    </w:p>
    <w:p>
      <w:pPr>
        <w:spacing w:before="75" w:after="0"/>
      </w:pPr>
      <w:r>
        <w:rPr>
          <w:b w:val="1"/>
          <w:bCs w:val="1"/>
        </w:rPr>
        <w:t xml:space="preserve">第十三章 算力基础设施行业竞争格局</w:t>
      </w:r>
    </w:p>
    <w:p>
      <w:pPr>
        <w:spacing w:before="75" w:after="0"/>
      </w:pPr>
      <w:r>
        <w:rPr/>
        <w:t xml:space="preserve">第一节 算力中心建设运营</w:t>
      </w:r>
    </w:p>
    <w:p>
      <w:pPr>
        <w:spacing w:before="75" w:after="0"/>
      </w:pPr>
      <w:r>
        <w:rPr/>
        <w:t xml:space="preserve">一、电信运营商算力布局</w:t>
      </w:r>
    </w:p>
    <w:p>
      <w:pPr>
        <w:spacing w:before="75" w:after="0"/>
      </w:pPr>
      <w:r>
        <w:rPr/>
        <w:t xml:space="preserve">二、互联网云厂商算力扩张</w:t>
      </w:r>
    </w:p>
    <w:p>
      <w:pPr>
        <w:spacing w:before="75" w:after="0"/>
      </w:pPr>
      <w:r>
        <w:rPr/>
        <w:t xml:space="preserve">三、第三方idc企业转型</w:t>
      </w:r>
    </w:p>
    <w:p>
      <w:pPr>
        <w:spacing w:before="75" w:after="0"/>
      </w:pPr>
      <w:r>
        <w:rPr/>
        <w:t xml:space="preserve">第二节 算力设备制造</w:t>
      </w:r>
    </w:p>
    <w:p>
      <w:pPr>
        <w:spacing w:before="75" w:after="0"/>
      </w:pPr>
      <w:r>
        <w:rPr/>
        <w:t xml:space="preserve">一、服务器市场集中度</w:t>
      </w:r>
    </w:p>
    <w:p>
      <w:pPr>
        <w:spacing w:before="75" w:after="0"/>
      </w:pPr>
      <w:r>
        <w:rPr/>
        <w:t xml:space="preserve">二、ai芯片竞争格局</w:t>
      </w:r>
    </w:p>
    <w:p>
      <w:pPr>
        <w:spacing w:before="75" w:after="0"/>
      </w:pPr>
      <w:r>
        <w:rPr/>
        <w:t xml:space="preserve">三、网络设备国产化</w:t>
      </w:r>
    </w:p>
    <w:p>
      <w:pPr>
        <w:spacing w:before="75" w:after="0"/>
      </w:pPr>
      <w:r>
        <w:rPr/>
        <w:t xml:space="preserve">第三节 算力服务生态</w:t>
      </w:r>
    </w:p>
    <w:p>
      <w:pPr>
        <w:spacing w:before="75" w:after="0"/>
      </w:pPr>
      <w:r>
        <w:rPr/>
        <w:t xml:space="preserve">一、算力租赁服务商</w:t>
      </w:r>
    </w:p>
    <w:p>
      <w:pPr>
        <w:spacing w:before="75" w:after="0"/>
      </w:pPr>
      <w:r>
        <w:rPr/>
        <w:t xml:space="preserve">二、云厂商算力服务</w:t>
      </w:r>
    </w:p>
    <w:p>
      <w:pPr>
        <w:spacing w:before="75" w:after="0"/>
      </w:pPr>
      <w:r>
        <w:rPr/>
        <w:t xml:space="preserve">三、算力调度与运营平台</w:t>
      </w:r>
    </w:p>
    <w:p>
      <w:pPr>
        <w:spacing w:before="75" w:after="0"/>
      </w:pPr>
      <w:r>
        <w:rPr>
          <w:b w:val="1"/>
          <w:bCs w:val="1"/>
        </w:rPr>
        <w:t xml:space="preserve">第十四章 算力基础设施行业投资分析</w:t>
      </w:r>
    </w:p>
    <w:p>
      <w:pPr>
        <w:spacing w:before="75" w:after="0"/>
      </w:pPr>
      <w:r>
        <w:rPr/>
        <w:t xml:space="preserve">第一节 投资价值评估</w:t>
      </w:r>
    </w:p>
    <w:p>
      <w:pPr>
        <w:spacing w:before="75" w:after="0"/>
      </w:pPr>
      <w:r>
        <w:rPr/>
        <w:t xml:space="preserve">一、行业成长性指标分析</w:t>
      </w:r>
    </w:p>
    <w:p>
      <w:pPr>
        <w:spacing w:before="75" w:after="0"/>
      </w:pPr>
      <w:r>
        <w:rPr/>
        <w:t xml:space="preserve">二、投资回报与现金流特征</w:t>
      </w:r>
    </w:p>
    <w:p>
      <w:pPr>
        <w:spacing w:before="75" w:after="0"/>
      </w:pPr>
      <w:r>
        <w:rPr/>
        <w:t xml:space="preserve">三、资产价值与技术迭代</w:t>
      </w:r>
    </w:p>
    <w:p>
      <w:pPr>
        <w:spacing w:before="75" w:after="0"/>
      </w:pPr>
      <w:r>
        <w:rPr/>
        <w:t xml:space="preserve">第二节 细分领域投资机会</w:t>
      </w:r>
    </w:p>
    <w:p>
      <w:pPr>
        <w:spacing w:before="75" w:after="0"/>
      </w:pPr>
      <w:r>
        <w:rPr/>
        <w:t xml:space="preserve">一、智算中心建设与运营</w:t>
      </w:r>
    </w:p>
    <w:p>
      <w:pPr>
        <w:spacing w:before="75" w:after="0"/>
      </w:pPr>
      <w:r>
        <w:rPr/>
        <w:t xml:space="preserve">二、国产算力芯片与服务器</w:t>
      </w:r>
    </w:p>
    <w:p>
      <w:pPr>
        <w:spacing w:before="75" w:after="0"/>
      </w:pPr>
      <w:r>
        <w:rPr/>
        <w:t xml:space="preserve">三、液冷与绿色节能技术</w:t>
      </w:r>
    </w:p>
    <w:p>
      <w:pPr>
        <w:spacing w:before="75" w:after="0"/>
      </w:pPr>
      <w:r>
        <w:rPr/>
        <w:t xml:space="preserve">第三节 投资风险因素</w:t>
      </w:r>
    </w:p>
    <w:p>
      <w:pPr>
        <w:spacing w:before="75" w:after="0"/>
      </w:pPr>
      <w:r>
        <w:rPr/>
        <w:t xml:space="preserve">一、技术路线与标准变化风险</w:t>
      </w:r>
    </w:p>
    <w:p>
      <w:pPr>
        <w:spacing w:before="75" w:after="0"/>
      </w:pPr>
      <w:r>
        <w:rPr/>
        <w:t xml:space="preserve">二、算力供需失衡与价格风险</w:t>
      </w:r>
    </w:p>
    <w:p>
      <w:pPr>
        <w:spacing w:before="75" w:after="0"/>
      </w:pPr>
      <w:r>
        <w:rPr/>
        <w:t xml:space="preserve">三、能耗约束与政策风险</w:t>
      </w:r>
    </w:p>
    <w:p>
      <w:pPr>
        <w:spacing w:before="75" w:after="0"/>
      </w:pPr>
      <w:r>
        <w:rPr>
          <w:b w:val="1"/>
          <w:bCs w:val="1"/>
        </w:rPr>
        <w:t xml:space="preserve">第十五章 算力基础设施发展趋势与前景</w:t>
      </w:r>
    </w:p>
    <w:p>
      <w:pPr>
        <w:spacing w:before="75" w:after="0"/>
      </w:pPr>
      <w:r>
        <w:rPr/>
        <w:t xml:space="preserve">第一节 技术发展趋势</w:t>
      </w:r>
    </w:p>
    <w:p>
      <w:pPr>
        <w:spacing w:before="75" w:after="0"/>
      </w:pPr>
      <w:r>
        <w:rPr/>
        <w:t xml:space="preserve">一、算力规模与密度持续提升</w:t>
      </w:r>
    </w:p>
    <w:p>
      <w:pPr>
        <w:spacing w:before="75" w:after="0"/>
      </w:pPr>
      <w:r>
        <w:rPr/>
        <w:t xml:space="preserve">二、算网融合与智能调度</w:t>
      </w:r>
    </w:p>
    <w:p>
      <w:pPr>
        <w:spacing w:before="75" w:after="0"/>
      </w:pPr>
      <w:r>
        <w:rPr/>
        <w:t xml:space="preserve">三、绿色算力与零碳目标</w:t>
      </w:r>
    </w:p>
    <w:p>
      <w:pPr>
        <w:spacing w:before="75" w:after="0"/>
      </w:pPr>
      <w:r>
        <w:rPr/>
        <w:t xml:space="preserve">第二节 市场发展趋势</w:t>
      </w:r>
    </w:p>
    <w:p>
      <w:pPr>
        <w:spacing w:before="75" w:after="0"/>
      </w:pPr>
      <w:r>
        <w:rPr/>
        <w:t xml:space="preserve">一、智算占比持续提升</w:t>
      </w:r>
    </w:p>
    <w:p>
      <w:pPr>
        <w:spacing w:before="75" w:after="0"/>
      </w:pPr>
      <w:r>
        <w:rPr/>
        <w:t xml:space="preserve">二、算力服务化与普惠化</w:t>
      </w:r>
    </w:p>
    <w:p>
      <w:pPr>
        <w:spacing w:before="75" w:after="0"/>
      </w:pPr>
      <w:r>
        <w:rPr/>
        <w:t xml:space="preserve">三、算力出海与全球布局</w:t>
      </w:r>
    </w:p>
    <w:p>
      <w:pPr>
        <w:spacing w:before="75" w:after="0"/>
      </w:pPr>
      <w:r>
        <w:rPr/>
        <w:t xml:space="preserve">第三节 行业发展前景</w:t>
      </w:r>
    </w:p>
    <w:p>
      <w:pPr>
        <w:spacing w:before="75" w:after="0"/>
      </w:pPr>
      <w:r>
        <w:rPr/>
        <w:t xml:space="preserve">一、2026-2031年算力规模预测</w:t>
      </w:r>
    </w:p>
    <w:p>
      <w:pPr>
        <w:spacing w:before="75" w:after="0"/>
      </w:pPr>
      <w:r>
        <w:rPr/>
        <w:t xml:space="preserve">二、算力投资与产业链带动</w:t>
      </w:r>
    </w:p>
    <w:p>
      <w:pPr>
        <w:spacing w:before="75" w:after="0"/>
      </w:pPr>
      <w:r>
        <w:rPr/>
        <w:t xml:space="preserve">三、高质量发展指标体系</w:t>
      </w:r>
    </w:p>
    <w:p>
      <w:pPr>
        <w:spacing w:before="75" w:after="0"/>
      </w:pPr>
      <w:r>
        <w:rPr>
          <w:b w:val="1"/>
          <w:bCs w:val="1"/>
        </w:rPr>
        <w:t xml:space="preserve">第十六章 算力基础设施发展建议与对策</w:t>
      </w:r>
    </w:p>
    <w:p>
      <w:pPr>
        <w:spacing w:before="75" w:after="0"/>
      </w:pPr>
      <w:r>
        <w:rPr/>
        <w:t xml:space="preserve">第一节 政府层面建议</w:t>
      </w:r>
    </w:p>
    <w:p>
      <w:pPr>
        <w:spacing w:before="75" w:after="0"/>
      </w:pPr>
      <w:r>
        <w:rPr/>
        <w:t xml:space="preserve">一、规划统筹与标准引领</w:t>
      </w:r>
    </w:p>
    <w:p>
      <w:pPr>
        <w:spacing w:before="75" w:after="0"/>
      </w:pPr>
      <w:r>
        <w:rPr/>
        <w:t xml:space="preserve">二、算力网络与调度机制</w:t>
      </w:r>
    </w:p>
    <w:p>
      <w:pPr>
        <w:spacing w:before="75" w:after="0"/>
      </w:pPr>
      <w:r>
        <w:rPr/>
        <w:t xml:space="preserve">三、绿色节能与能耗管控</w:t>
      </w:r>
    </w:p>
    <w:p>
      <w:pPr>
        <w:spacing w:before="75" w:after="0"/>
      </w:pPr>
      <w:r>
        <w:rPr/>
        <w:t xml:space="preserve">第二节 企业层面建议</w:t>
      </w:r>
    </w:p>
    <w:p>
      <w:pPr>
        <w:spacing w:before="75" w:after="0"/>
      </w:pPr>
      <w:r>
        <w:rPr/>
        <w:t xml:space="preserve">一、算力布局与差异化定位</w:t>
      </w:r>
    </w:p>
    <w:p>
      <w:pPr>
        <w:spacing w:before="75" w:after="0"/>
      </w:pPr>
      <w:r>
        <w:rPr/>
        <w:t xml:space="preserve">二、技术创新与生态构建</w:t>
      </w:r>
    </w:p>
    <w:p>
      <w:pPr>
        <w:spacing w:before="75" w:after="0"/>
      </w:pPr>
      <w:r>
        <w:rPr/>
        <w:t xml:space="preserve">三、运营提效与服务升级</w:t>
      </w:r>
    </w:p>
    <w:p>
      <w:pPr>
        <w:spacing w:before="75" w:after="0"/>
      </w:pPr>
      <w:r>
        <w:rPr/>
        <w:t xml:space="preserve">第三节 投资机构层面建议</w:t>
      </w:r>
    </w:p>
    <w:p>
      <w:pPr>
        <w:spacing w:before="75" w:after="0"/>
      </w:pPr>
      <w:r>
        <w:rPr/>
        <w:t xml:space="preserve">一、赛道选择与价值评估</w:t>
      </w:r>
    </w:p>
    <w:p>
      <w:pPr>
        <w:spacing w:before="75" w:after="0"/>
      </w:pPr>
      <w:r>
        <w:rPr/>
        <w:t xml:space="preserve">二、技术壁垒与团队考察</w:t>
      </w:r>
    </w:p>
    <w:p>
      <w:pPr>
        <w:spacing w:before="75" w:after="0"/>
      </w:pPr>
      <w:r>
        <w:rPr/>
        <w:t xml:space="preserve">三、退出机制与风险防控</w:t>
      </w:r>
    </w:p>
    <w:p>
      <w:pPr>
        <w:spacing w:before="75" w:after="0"/>
      </w:pPr>
      <w:r>
        <w:rPr>
          <w:b w:val="1"/>
          <w:bCs w:val="1"/>
        </w:rPr>
        <w:t xml:space="preserve">图表目录</w:t>
      </w:r>
    </w:p>
    <w:p>
      <w:pPr>
        <w:spacing w:before="75" w:after="0"/>
      </w:pPr>
      <w:r>
        <w:rPr/>
        <w:t xml:space="preserve">图表：算力基础设施产业链结构</w:t>
      </w:r>
    </w:p>
    <w:p>
      <w:pPr>
        <w:spacing w:before="75" w:after="0"/>
      </w:pPr>
      <w:r>
        <w:rPr/>
        <w:t xml:space="preserve">图表：算力基础设施分类体系</w:t>
      </w:r>
    </w:p>
    <w:p>
      <w:pPr>
        <w:spacing w:before="75" w:after="0"/>
      </w:pPr>
      <w:r>
        <w:rPr/>
        <w:t xml:space="preserve">图表：主要国家算力发展水平对比</w:t>
      </w:r>
    </w:p>
    <w:p>
      <w:pPr>
        <w:spacing w:before="75" w:after="0"/>
      </w:pPr>
      <w:r>
        <w:rPr/>
        <w:t xml:space="preserve">图表：中国算力基础设施政策体系框架</w:t>
      </w:r>
    </w:p>
    <w:p>
      <w:pPr>
        <w:spacing w:before="75" w:after="0"/>
      </w:pPr>
      <w:r>
        <w:rPr/>
        <w:t xml:space="preserve">图表：2023-2025年数字经济与算力增长关系</w:t>
      </w:r>
    </w:p>
    <w:p>
      <w:pPr>
        <w:spacing w:before="75" w:after="0"/>
      </w:pPr>
      <w:r>
        <w:rPr/>
        <w:t xml:space="preserve">图表：中国算力基础设施发展阶段划分</w:t>
      </w:r>
    </w:p>
    <w:p>
      <w:pPr>
        <w:spacing w:before="75" w:after="0"/>
      </w:pPr>
      <w:r>
        <w:rPr/>
        <w:t xml:space="preserve">图表：2025年算力中心区域分布</w:t>
      </w:r>
    </w:p>
    <w:p>
      <w:pPr>
        <w:spacing w:before="75" w:after="0"/>
      </w:pPr>
      <w:r>
        <w:rPr/>
        <w:t xml:space="preserve">图表：2025年算力类型结构占比</w:t>
      </w:r>
    </w:p>
    <w:p>
      <w:pPr>
        <w:spacing w:before="75" w:after="0"/>
      </w:pPr>
      <w:r>
        <w:rPr/>
        <w:t xml:space="preserve">图表：2025年算力区域布局结构</w:t>
      </w:r>
    </w:p>
    <w:p>
      <w:pPr>
        <w:spacing w:before="75" w:after="0"/>
      </w:pPr>
      <w:r>
        <w:rPr/>
        <w:t xml:space="preserve">图表：数据中心建设规模与pue变化</w:t>
      </w:r>
    </w:p>
    <w:p>
      <w:pPr>
        <w:spacing w:before="75" w:after="0"/>
      </w:pPr>
      <w:r>
        <w:rPr/>
        <w:t xml:space="preserve">图表：服务器市场出货量与结构</w:t>
      </w:r>
    </w:p>
    <w:p>
      <w:pPr>
        <w:spacing w:before="75" w:after="0"/>
      </w:pPr>
      <w:r>
        <w:rPr/>
        <w:t xml:space="preserve">图表：智算中心建设规模与增长</w:t>
      </w:r>
    </w:p>
    <w:p>
      <w:pPr>
        <w:spacing w:before="75" w:after="0"/>
      </w:pPr>
      <w:r>
        <w:rPr/>
        <w:t xml:space="preserve">图表：ai服务器与加速卡市场格局</w:t>
      </w:r>
    </w:p>
    <w:p>
      <w:pPr>
        <w:spacing w:before="75" w:after="0"/>
      </w:pPr>
      <w:r>
        <w:rPr/>
        <w:t xml:space="preserve">图表：超算中心算力规模与排名</w:t>
      </w:r>
    </w:p>
    <w:p>
      <w:pPr>
        <w:spacing w:before="75" w:after="0"/>
      </w:pPr>
      <w:r>
        <w:rPr/>
        <w:t xml:space="preserve">图表：算力网络架构</w:t>
      </w:r>
    </w:p>
    <w:p>
      <w:pPr>
        <w:spacing w:before="75" w:after="0"/>
      </w:pPr>
      <w:r>
        <w:rPr/>
        <w:t xml:space="preserve">图表：边缘算力节点布局与覆盖</w:t>
      </w:r>
    </w:p>
    <w:p>
      <w:pPr>
        <w:spacing w:before="75" w:after="0"/>
      </w:pPr>
      <w:r>
        <w:rPr/>
        <w:t xml:space="preserve">图表：云边端协同计算架构</w:t>
      </w:r>
    </w:p>
    <w:p>
      <w:pPr>
        <w:spacing w:before="75" w:after="0"/>
      </w:pPr>
      <w:r>
        <w:rPr/>
        <w:t xml:space="preserve">图表：算力网络高速互联技术</w:t>
      </w:r>
    </w:p>
    <w:p>
      <w:pPr>
        <w:spacing w:before="75" w:after="0"/>
      </w:pPr>
      <w:r>
        <w:rPr/>
        <w:t xml:space="preserve">图表：确定性网络与算力保障</w:t>
      </w:r>
    </w:p>
    <w:p>
      <w:pPr>
        <w:spacing w:before="75" w:after="0"/>
      </w:pPr>
      <w:r>
        <w:rPr/>
        <w:t xml:space="preserve">图表：数据中心能耗与pue水平</w:t>
      </w:r>
    </w:p>
    <w:p>
      <w:pPr>
        <w:spacing w:before="75" w:after="0"/>
      </w:pPr>
      <w:r>
        <w:rPr/>
        <w:t xml:space="preserve">图表：液冷技术渗透率提升</w:t>
      </w:r>
    </w:p>
    <w:p>
      <w:pPr>
        <w:spacing w:before="75" w:after="0"/>
      </w:pPr>
      <w:r>
        <w:rPr/>
        <w:t xml:space="preserve">图表：中国算力枢纽布局</w:t>
      </w:r>
    </w:p>
    <w:p>
      <w:pPr>
        <w:spacing w:before="75" w:after="0"/>
      </w:pPr>
      <w:r>
        <w:rPr/>
        <w:t xml:space="preserve">图表：八大枢纽算力规模对比</w:t>
      </w:r>
    </w:p>
    <w:p>
      <w:pPr>
        <w:spacing w:before="75" w:after="0"/>
      </w:pPr>
      <w:r>
        <w:rPr/>
        <w:t xml:space="preserve">图表：算力中心建设运营竞争格局</w:t>
      </w:r>
    </w:p>
    <w:p>
      <w:pPr>
        <w:spacing w:before="75" w:after="0"/>
      </w:pPr>
      <w:r>
        <w:rPr/>
        <w:t xml:space="preserve">图表：算力设备制造市场份额</w:t>
      </w:r>
    </w:p>
    <w:p>
      <w:pPr>
        <w:spacing w:before="75" w:after="0"/>
      </w:pPr>
      <w:r>
        <w:rPr/>
        <w:t xml:space="preserve">图表：算力基础设施投资价值评估矩阵</w:t>
      </w:r>
    </w:p>
    <w:p>
      <w:pPr>
        <w:spacing w:before="75" w:after="0"/>
      </w:pPr>
      <w:r>
        <w:rPr/>
        <w:t xml:space="preserve">图表：细分领域投资机会优先级</w:t>
      </w:r>
    </w:p>
    <w:p>
      <w:pPr>
        <w:spacing w:before="75" w:after="0"/>
      </w:pPr>
      <w:r>
        <w:rPr/>
        <w:t xml:space="preserve">图表：2026-2031年算力规模预测</w:t>
      </w:r>
    </w:p>
    <w:p>
      <w:pPr>
        <w:spacing w:before="75" w:after="0"/>
      </w:pPr>
      <w:r>
        <w:rPr/>
        <w:t xml:space="preserve">图表：智算占比提升趋势</w:t>
      </w:r>
    </w:p>
    <w:p>
      <w:pPr>
        <w:spacing w:before="75" w:after="0"/>
      </w:pPr>
      <w:r>
        <w:rPr/>
        <w:t xml:space="preserve">图表：算力基础设施高质量发展指标体系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2026-2031年中国算力基础设施行业全景调研及发展前景预测报告</dc:title>
  <dc:description>2026-2031年中国算力基础设施行业全景调研及发展前景预测报告</dc:description>
  <dc:subject>2026-2031年中国算力基础设施行业全景调研及发展前景预测报告</dc:subject>
  <cp:keywords>研究报告</cp:keywords>
  <cp:category>研究报告</cp:category>
  <cp:lastModifiedBy>北京中道泰和信息咨询有限公司</cp:lastModifiedBy>
  <dcterms:created xsi:type="dcterms:W3CDTF">2026-03-30T21:55:10+08:00</dcterms:created>
  <dcterms:modified xsi:type="dcterms:W3CDTF">2026-03-30T21:55:10+08:00</dcterms:modified>
</cp:coreProperties>
</file>

<file path=docProps/custom.xml><?xml version="1.0" encoding="utf-8"?>
<Properties xmlns="http://schemas.openxmlformats.org/officeDocument/2006/custom-properties" xmlns:vt="http://schemas.openxmlformats.org/officeDocument/2006/docPropsVTypes"/>
</file>