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2026-2031年中国智算中心行业全景调研及投资战略咨询报告</w:t>
      </w:r>
    </w:p>
    <w:p>
      <w:pPr>
        <w:spacing w:after="150"/>
      </w:pPr>
      <w:r>
        <w:rPr>
          <w:b w:val="1"/>
          <w:bCs w:val="1"/>
        </w:rPr>
        <w:t xml:space="preserve">报告简介</w:t>
      </w:r>
    </w:p>
    <w:p>
      <w:pPr>
        <w:spacing w:after="150"/>
      </w:pPr>
      <w:r>
        <w:rPr/>
        <w:t xml:space="preserve">智算中心是智慧时代面向社会全域多主体的人工智能计算基础设施，以融合架构计算系统为平台，集成高性能计算、AI加速芯片、分布式存储及智能调度系统，提供人工智能应用所需的算力、数据与算法服务。其核心特征在于通过算力的生产、聚合、调度和释放，实现数据开放共享、智能生态建设与产业创新聚集，支撑智慧城市、智能制造、医疗科研等领域智能化转型。</w:t>
      </w:r>
    </w:p>
    <w:p>
      <w:pPr>
        <w:spacing w:after="150"/>
      </w:pPr>
      <w:r>
        <w:rPr/>
        <w:t xml:space="preserve">作为新型公共算力基础设施，智算中心以数据为资源，以强大算力驱动AI模型对数据进行深度加工，使算力、数据、算法三大要素形成有机整体。其计算架构采用异构计算技术，集成通用CPU与GPU、NPU、ASIC等多元芯片，通过优化计算平台、框架和底层算法，实现算力的高效聚合与精细调度。</w:t>
      </w:r>
    </w:p>
    <w:p>
      <w:pPr>
        <w:spacing w:after="150"/>
      </w:pPr>
      <w:r>
        <w:rPr/>
        <w:t xml:space="preserve">智算中心的功能定位涵盖四大维度：一是算力生产供应平台，以强大算力驱动AI模型加工数据，提供基于深度学习技术的算法能力与接口;二是数据开放共享平台，汇聚各行业数据资源，通过跨领域数据开发提升AI算法训练质量;三是智能生态建设平台，集成人工智能、大数据、云计算等技术，推动产业AI化与AI产业化;四是产业创新聚集平台，围绕数据、算法、算力构建AI全产业链，加速AI应用场景落地与传统产业转型升级。其建设需兼顾开放标准、集约高效、绿色节能与普惠服务原则，通过算力基建化使AI算力像水电一样成为城市公共资源，满足政府、企业、公众按需使用的现实需求。</w:t>
      </w:r>
    </w:p>
    <w:p>
      <w:pPr>
        <w:spacing w:after="150"/>
      </w:pPr>
      <w:r>
        <w:rPr/>
        <w:t xml:space="preserve">智算中心行业研究报告旨在从国家经济和产业发展的战略入手，分析智算中心未来的政策走向和监管体制的发展趋势，挖掘智算中心行业的市场潜力，基于重点细分市场领域的深度研究，提供对产业规模、产业结构、区域结构、市场竞争、产业盈利水平等多个角度市场变化的生动描绘，清晰发展方向。预测未来智算中心业务的市场前景，以帮助客户拨开政策迷雾，寻找智算中心行业的投资商机。报告在大量的分析、预测的基础上，研究了智算中心行业今后的发展与投资策略，为智算中心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智算中心相关企业和科研单位等的实地调查，对国内外智算中心行业的供给与需求状况、相关行业的发展状况、市场消费变化等进行了分析。重点研究了主要智算中心品牌的发展状况，以及未来中国智算中心行业将面临的机遇以及企业的应对策略。报告还分析了智算中心市场的竞争格局，行业的发展动向，并对行业相关政策进行了介绍和政策趋向研判，是智算中心生产企业、科研单位、零售企业等单位准确了解目前智算中心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智算中心行业概述</w:t>
      </w:r>
    </w:p>
    <w:p>
      <w:pPr>
        <w:spacing w:before="75" w:after="0"/>
      </w:pPr>
      <w:r>
        <w:rPr/>
        <w:t xml:space="preserve">第一节 行业基本定义与核心特征</w:t>
      </w:r>
    </w:p>
    <w:p>
      <w:pPr>
        <w:spacing w:before="75" w:after="0"/>
      </w:pPr>
      <w:r>
        <w:rPr/>
        <w:t xml:space="preserve">一、智算中心的概念界定与功能定位</w:t>
      </w:r>
    </w:p>
    <w:p>
      <w:pPr>
        <w:spacing w:before="75" w:after="0"/>
      </w:pPr>
      <w:r>
        <w:rPr/>
        <w:t xml:space="preserve">二、与传统数据中心的本质区别</w:t>
      </w:r>
    </w:p>
    <w:p>
      <w:pPr>
        <w:spacing w:before="75" w:after="0"/>
      </w:pPr>
      <w:r>
        <w:rPr/>
        <w:t xml:space="preserve">三、在人工智能基础设施体系中的角色</w:t>
      </w:r>
    </w:p>
    <w:p>
      <w:pPr>
        <w:spacing w:before="75" w:after="0"/>
      </w:pPr>
      <w:r>
        <w:rPr/>
        <w:t xml:space="preserve">第二节 行业技术架构组成</w:t>
      </w:r>
    </w:p>
    <w:p>
      <w:pPr>
        <w:spacing w:before="75" w:after="0"/>
      </w:pPr>
      <w:r>
        <w:rPr/>
        <w:t xml:space="preserve">一、算力层：ai芯片与异构计算集群</w:t>
      </w:r>
    </w:p>
    <w:p>
      <w:pPr>
        <w:spacing w:before="75" w:after="0"/>
      </w:pPr>
      <w:r>
        <w:rPr/>
        <w:t xml:space="preserve">二、平台层：ai框架与调度系统</w:t>
      </w:r>
    </w:p>
    <w:p>
      <w:pPr>
        <w:spacing w:before="75" w:after="0"/>
      </w:pPr>
      <w:r>
        <w:rPr/>
        <w:t xml:space="preserve">三、应用层：模型训练与推理服务接口</w:t>
      </w:r>
    </w:p>
    <w:p>
      <w:pPr>
        <w:spacing w:before="75" w:after="0"/>
      </w:pPr>
      <w:r>
        <w:rPr/>
        <w:t xml:space="preserve">第三节 行业发展阶段与演进逻辑</w:t>
      </w:r>
    </w:p>
    <w:p>
      <w:pPr>
        <w:spacing w:before="75" w:after="0"/>
      </w:pPr>
      <w:r>
        <w:rPr/>
        <w:t xml:space="preserve">一、从通用算力向专用智算转型路径</w:t>
      </w:r>
    </w:p>
    <w:p>
      <w:pPr>
        <w:spacing w:before="75" w:after="0"/>
      </w:pPr>
      <w:r>
        <w:rPr/>
        <w:t xml:space="preserve">二、行业标准化与生态成熟度评估</w:t>
      </w:r>
    </w:p>
    <w:p>
      <w:pPr>
        <w:spacing w:before="75" w:after="0"/>
      </w:pPr>
      <w:r>
        <w:rPr/>
        <w:t xml:space="preserve">三、未来五年发展主轴判断</w:t>
      </w:r>
    </w:p>
    <w:p>
      <w:pPr>
        <w:spacing w:before="75" w:after="0"/>
      </w:pPr>
      <w:r>
        <w:rPr>
          <w:b w:val="1"/>
          <w:bCs w:val="1"/>
        </w:rPr>
        <w:t xml:space="preserve">第二章 全球智算中心行业发展分析</w:t>
      </w:r>
    </w:p>
    <w:p>
      <w:pPr>
        <w:spacing w:before="75" w:after="0"/>
      </w:pPr>
      <w:r>
        <w:rPr/>
        <w:t xml:space="preserve">第一节 全球市场规模与区域分布</w:t>
      </w:r>
    </w:p>
    <w:p>
      <w:pPr>
        <w:spacing w:before="75" w:after="0"/>
      </w:pPr>
      <w:r>
        <w:rPr/>
        <w:t xml:space="preserve">一、北美地区超大规模智算部署规模</w:t>
      </w:r>
    </w:p>
    <w:p>
      <w:pPr>
        <w:spacing w:before="75" w:after="0"/>
      </w:pPr>
      <w:r>
        <w:rPr/>
        <w:t xml:space="preserve">二、欧洲绿色智算中心建设进展</w:t>
      </w:r>
    </w:p>
    <w:p>
      <w:pPr>
        <w:spacing w:before="75" w:after="0"/>
      </w:pPr>
      <w:r>
        <w:rPr/>
        <w:t xml:space="preserve">三、亚太地区新兴市场增长动能</w:t>
      </w:r>
    </w:p>
    <w:p>
      <w:pPr>
        <w:spacing w:before="75" w:after="0"/>
      </w:pPr>
      <w:r>
        <w:rPr/>
        <w:t xml:space="preserve">第二节 全球技术路线与架构趋势</w:t>
      </w:r>
    </w:p>
    <w:p>
      <w:pPr>
        <w:spacing w:before="75" w:after="0"/>
      </w:pPr>
      <w:r>
        <w:rPr/>
        <w:t xml:space="preserve">一、gpu/tpu/npu等加速芯片应用格局</w:t>
      </w:r>
    </w:p>
    <w:p>
      <w:pPr>
        <w:spacing w:before="75" w:after="0"/>
      </w:pPr>
      <w:r>
        <w:rPr/>
        <w:t xml:space="preserve">二、大模型训练专用集群架构演进</w:t>
      </w:r>
    </w:p>
    <w:p>
      <w:pPr>
        <w:spacing w:before="75" w:after="0"/>
      </w:pPr>
      <w:r>
        <w:rPr/>
        <w:t xml:space="preserve">三、算力池化与弹性调度技术普及</w:t>
      </w:r>
    </w:p>
    <w:p>
      <w:pPr>
        <w:spacing w:before="75" w:after="0"/>
      </w:pPr>
      <w:r>
        <w:rPr/>
        <w:t xml:space="preserve">第三节 全球主要参与者战略布局</w:t>
      </w:r>
    </w:p>
    <w:p>
      <w:pPr>
        <w:spacing w:before="75" w:after="0"/>
      </w:pPr>
      <w:r>
        <w:rPr/>
        <w:t xml:space="preserve">一、科技巨头自建智算中心扩张节奏</w:t>
      </w:r>
    </w:p>
    <w:p>
      <w:pPr>
        <w:spacing w:before="75" w:after="0"/>
      </w:pPr>
      <w:r>
        <w:rPr/>
        <w:t xml:space="preserve">二、专业ai算力服务商商业模式</w:t>
      </w:r>
    </w:p>
    <w:p>
      <w:pPr>
        <w:spacing w:before="75" w:after="0"/>
      </w:pPr>
      <w:r>
        <w:rPr/>
        <w:t xml:space="preserve">三、国家主导型智算基础设施投入</w:t>
      </w:r>
    </w:p>
    <w:p>
      <w:pPr>
        <w:spacing w:before="75" w:after="0"/>
      </w:pPr>
      <w:r>
        <w:rPr>
          <w:b w:val="1"/>
          <w:bCs w:val="1"/>
        </w:rPr>
        <w:t xml:space="preserve">第三章 中国智算中心行业发展回顾</w:t>
      </w:r>
    </w:p>
    <w:p>
      <w:pPr>
        <w:spacing w:before="75" w:after="0"/>
      </w:pPr>
      <w:r>
        <w:rPr/>
        <w:t xml:space="preserve">第一节 市场规模与建设进度</w:t>
      </w:r>
    </w:p>
    <w:p>
      <w:pPr>
        <w:spacing w:before="75" w:after="0"/>
      </w:pPr>
      <w:r>
        <w:rPr/>
        <w:t xml:space="preserve">一、全国已投运智算中心数量</w:t>
      </w:r>
    </w:p>
    <w:p>
      <w:pPr>
        <w:spacing w:before="75" w:after="0"/>
      </w:pPr>
      <w:r>
        <w:rPr/>
        <w:t xml:space="preserve">二、总算力规模及fp16/fp32指标</w:t>
      </w:r>
    </w:p>
    <w:p>
      <w:pPr>
        <w:spacing w:before="75" w:after="0"/>
      </w:pPr>
      <w:r>
        <w:rPr/>
        <w:t xml:space="preserve">三、年度新增智算中心投资总额</w:t>
      </w:r>
    </w:p>
    <w:p>
      <w:pPr>
        <w:spacing w:before="75" w:after="0"/>
      </w:pPr>
      <w:r>
        <w:rPr/>
        <w:t xml:space="preserve">第二节 区域布局与集群形态</w:t>
      </w:r>
    </w:p>
    <w:p>
      <w:pPr>
        <w:spacing w:before="75" w:after="0"/>
      </w:pPr>
      <w:r>
        <w:rPr/>
        <w:t xml:space="preserve">一、国家级人工智能创新区智算配套</w:t>
      </w:r>
    </w:p>
    <w:p>
      <w:pPr>
        <w:spacing w:before="75" w:after="0"/>
      </w:pPr>
      <w:r>
        <w:rPr/>
        <w:t xml:space="preserve">二、东部高密度需求区域集中建设</w:t>
      </w:r>
    </w:p>
    <w:p>
      <w:pPr>
        <w:spacing w:before="75" w:after="0"/>
      </w:pPr>
      <w:r>
        <w:rPr/>
        <w:t xml:space="preserve">三、中西部依托能源优势试点项目</w:t>
      </w:r>
    </w:p>
    <w:p>
      <w:pPr>
        <w:spacing w:before="75" w:after="0"/>
      </w:pPr>
      <w:r>
        <w:rPr/>
        <w:t xml:space="preserve">第三节 投资主体与运营模式</w:t>
      </w:r>
    </w:p>
    <w:p>
      <w:pPr>
        <w:spacing w:before="75" w:after="0"/>
      </w:pPr>
      <w:r>
        <w:rPr/>
        <w:t xml:space="preserve">一、政府主导型项目占比</w:t>
      </w:r>
    </w:p>
    <w:p>
      <w:pPr>
        <w:spacing w:before="75" w:after="0"/>
      </w:pPr>
      <w:r>
        <w:rPr/>
        <w:t xml:space="preserve">二、企业自建与第三方运营比例</w:t>
      </w:r>
    </w:p>
    <w:p>
      <w:pPr>
        <w:spacing w:before="75" w:after="0"/>
      </w:pPr>
      <w:r>
        <w:rPr/>
        <w:t xml:space="preserve">三、公私合作模式探索情况</w:t>
      </w:r>
    </w:p>
    <w:p>
      <w:pPr>
        <w:spacing w:before="75" w:after="0"/>
      </w:pPr>
      <w:r>
        <w:rPr>
          <w:b w:val="1"/>
          <w:bCs w:val="1"/>
        </w:rPr>
        <w:t xml:space="preserve">第四章 中国智算中心供给能力分析</w:t>
      </w:r>
    </w:p>
    <w:p>
      <w:pPr>
        <w:spacing w:before="75" w:after="0"/>
      </w:pPr>
      <w:r>
        <w:rPr/>
        <w:t xml:space="preserve">第一节 算力资源供给结构</w:t>
      </w:r>
    </w:p>
    <w:p>
      <w:pPr>
        <w:spacing w:before="75" w:after="0"/>
      </w:pPr>
      <w:r>
        <w:rPr/>
        <w:t xml:space="preserve">一、国产与进口ai芯片部署比例</w:t>
      </w:r>
    </w:p>
    <w:p>
      <w:pPr>
        <w:spacing w:before="75" w:after="0"/>
      </w:pPr>
      <w:r>
        <w:rPr/>
        <w:t xml:space="preserve">二、单体智算中心峰值算力等级分布</w:t>
      </w:r>
    </w:p>
    <w:p>
      <w:pPr>
        <w:spacing w:before="75" w:after="0"/>
      </w:pPr>
      <w:r>
        <w:rPr/>
        <w:t xml:space="preserve">三、算力利用率与闲置率现状</w:t>
      </w:r>
    </w:p>
    <w:p>
      <w:pPr>
        <w:spacing w:before="75" w:after="0"/>
      </w:pPr>
      <w:r>
        <w:rPr/>
        <w:t xml:space="preserve">第二节 基础设施支撑能力</w:t>
      </w:r>
    </w:p>
    <w:p>
      <w:pPr>
        <w:spacing w:before="75" w:after="0"/>
      </w:pPr>
      <w:r>
        <w:rPr/>
        <w:t xml:space="preserve">一、电力供应稳定性与容量冗余</w:t>
      </w:r>
    </w:p>
    <w:p>
      <w:pPr>
        <w:spacing w:before="75" w:after="0"/>
      </w:pPr>
      <w:r>
        <w:rPr/>
        <w:t xml:space="preserve">二、网络低时延互联覆盖水平</w:t>
      </w:r>
    </w:p>
    <w:p>
      <w:pPr>
        <w:spacing w:before="75" w:after="0"/>
      </w:pPr>
      <w:r>
        <w:rPr/>
        <w:t xml:space="preserve">三、冷却系统对高密度算力适配性</w:t>
      </w:r>
    </w:p>
    <w:p>
      <w:pPr>
        <w:spacing w:before="75" w:after="0"/>
      </w:pPr>
      <w:r>
        <w:rPr/>
        <w:t xml:space="preserve">第三节 软件与平台成熟度</w:t>
      </w:r>
    </w:p>
    <w:p>
      <w:pPr>
        <w:spacing w:before="75" w:after="0"/>
      </w:pPr>
      <w:r>
        <w:rPr/>
        <w:t xml:space="preserve">一、主流ai框架兼容性支持</w:t>
      </w:r>
    </w:p>
    <w:p>
      <w:pPr>
        <w:spacing w:before="75" w:after="0"/>
      </w:pPr>
      <w:r>
        <w:rPr/>
        <w:t xml:space="preserve">二、任务调度与资源管理效率</w:t>
      </w:r>
    </w:p>
    <w:p>
      <w:pPr>
        <w:spacing w:before="75" w:after="0"/>
      </w:pPr>
      <w:r>
        <w:rPr/>
        <w:t xml:space="preserve">三、安全隔离与多租户服务能力</w:t>
      </w:r>
    </w:p>
    <w:p>
      <w:pPr>
        <w:spacing w:before="75" w:after="0"/>
      </w:pPr>
      <w:r>
        <w:rPr>
          <w:b w:val="1"/>
          <w:bCs w:val="1"/>
        </w:rPr>
        <w:t xml:space="preserve">第五章 中国智算中心需求端分析</w:t>
      </w:r>
    </w:p>
    <w:p>
      <w:pPr>
        <w:spacing w:before="75" w:after="0"/>
      </w:pPr>
      <w:r>
        <w:rPr/>
        <w:t xml:space="preserve">第一节 大模型研发驱动需求</w:t>
      </w:r>
    </w:p>
    <w:p>
      <w:pPr>
        <w:spacing w:before="75" w:after="0"/>
      </w:pPr>
      <w:r>
        <w:rPr/>
        <w:t xml:space="preserve">一、千亿参数以上模型训练频次</w:t>
      </w:r>
    </w:p>
    <w:p>
      <w:pPr>
        <w:spacing w:before="75" w:after="0"/>
      </w:pPr>
      <w:r>
        <w:rPr/>
        <w:t xml:space="preserve">二、科研机构与高校算力采购</w:t>
      </w:r>
    </w:p>
    <w:p>
      <w:pPr>
        <w:spacing w:before="75" w:after="0"/>
      </w:pPr>
      <w:r>
        <w:rPr/>
        <w:t xml:space="preserve">三、开源社区对公共算力依赖</w:t>
      </w:r>
    </w:p>
    <w:p>
      <w:pPr>
        <w:spacing w:before="75" w:after="0"/>
      </w:pPr>
      <w:r>
        <w:rPr/>
        <w:t xml:space="preserve">第二节 企业智能化转型需求</w:t>
      </w:r>
    </w:p>
    <w:p>
      <w:pPr>
        <w:spacing w:before="75" w:after="0"/>
      </w:pPr>
      <w:r>
        <w:rPr/>
        <w:t xml:space="preserve">一、金融、制造、医疗等行业ai落地</w:t>
      </w:r>
    </w:p>
    <w:p>
      <w:pPr>
        <w:spacing w:before="75" w:after="0"/>
      </w:pPr>
      <w:r>
        <w:rPr/>
        <w:t xml:space="preserve">二、私有化模型微调算力需求</w:t>
      </w:r>
    </w:p>
    <w:p>
      <w:pPr>
        <w:spacing w:before="75" w:after="0"/>
      </w:pPr>
      <w:r>
        <w:rPr/>
        <w:t xml:space="preserve">三、边缘智能与中心协同推理场景</w:t>
      </w:r>
    </w:p>
    <w:p>
      <w:pPr>
        <w:spacing w:before="75" w:after="0"/>
      </w:pPr>
      <w:r>
        <w:rPr/>
        <w:t xml:space="preserve">第三节 政务与城市治理应用</w:t>
      </w:r>
    </w:p>
    <w:p>
      <w:pPr>
        <w:spacing w:before="75" w:after="0"/>
      </w:pPr>
      <w:r>
        <w:rPr/>
        <w:t xml:space="preserve">一、城市大脑与智能交通系统支撑</w:t>
      </w:r>
    </w:p>
    <w:p>
      <w:pPr>
        <w:spacing w:before="75" w:after="0"/>
      </w:pPr>
      <w:r>
        <w:rPr/>
        <w:t xml:space="preserve">二、公共安全与应急响应算力保障</w:t>
      </w:r>
    </w:p>
    <w:p>
      <w:pPr>
        <w:spacing w:before="75" w:after="0"/>
      </w:pPr>
      <w:r>
        <w:rPr/>
        <w:t xml:space="preserve">三、数字政府ai服务平台建设</w:t>
      </w:r>
    </w:p>
    <w:p>
      <w:pPr>
        <w:spacing w:before="75" w:after="0"/>
      </w:pPr>
      <w:r>
        <w:rPr>
          <w:b w:val="1"/>
          <w:bCs w:val="1"/>
        </w:rPr>
        <w:t xml:space="preserve">第六章 智算中心产业链全景解析</w:t>
      </w:r>
    </w:p>
    <w:p>
      <w:pPr>
        <w:spacing w:before="75" w:after="0"/>
      </w:pPr>
      <w:r>
        <w:rPr/>
        <w:t xml:space="preserve">第一节 上游关键环节</w:t>
      </w:r>
    </w:p>
    <w:p>
      <w:pPr>
        <w:spacing w:before="75" w:after="0"/>
      </w:pPr>
      <w:r>
        <w:rPr/>
        <w:t xml:space="preserve">一、ai芯片设计与制造厂商</w:t>
      </w:r>
    </w:p>
    <w:p>
      <w:pPr>
        <w:spacing w:before="75" w:after="0"/>
      </w:pPr>
      <w:r>
        <w:rPr/>
        <w:t xml:space="preserve">二、服务器与液冷设备供应商</w:t>
      </w:r>
    </w:p>
    <w:p>
      <w:pPr>
        <w:spacing w:before="75" w:after="0"/>
      </w:pPr>
      <w:r>
        <w:rPr/>
        <w:t xml:space="preserve">三、高速网络与光模块提供商</w:t>
      </w:r>
    </w:p>
    <w:p>
      <w:pPr>
        <w:spacing w:before="75" w:after="0"/>
      </w:pPr>
      <w:r>
        <w:rPr/>
        <w:t xml:space="preserve">第二节 中游建设与运营主体</w:t>
      </w:r>
    </w:p>
    <w:p>
      <w:pPr>
        <w:spacing w:before="75" w:after="0"/>
      </w:pPr>
      <w:r>
        <w:rPr/>
        <w:t xml:space="preserve">一、智算中心规划设计单位</w:t>
      </w:r>
    </w:p>
    <w:p>
      <w:pPr>
        <w:spacing w:before="75" w:after="0"/>
      </w:pPr>
      <w:r>
        <w:rPr/>
        <w:t xml:space="preserve">二、工程建设与系统集成商</w:t>
      </w:r>
    </w:p>
    <w:p>
      <w:pPr>
        <w:spacing w:before="75" w:after="0"/>
      </w:pPr>
      <w:r>
        <w:rPr/>
        <w:t xml:space="preserve">三、专业智算运营服务商</w:t>
      </w:r>
    </w:p>
    <w:p>
      <w:pPr>
        <w:spacing w:before="75" w:after="0"/>
      </w:pPr>
      <w:r>
        <w:rPr/>
        <w:t xml:space="preserve">第三节 下游应用客户群体</w:t>
      </w:r>
    </w:p>
    <w:p>
      <w:pPr>
        <w:spacing w:before="75" w:after="0"/>
      </w:pPr>
      <w:r>
        <w:rPr/>
        <w:t xml:space="preserve">一、互联网与云服务企业</w:t>
      </w:r>
    </w:p>
    <w:p>
      <w:pPr>
        <w:spacing w:before="75" w:after="0"/>
      </w:pPr>
      <w:r>
        <w:rPr/>
        <w:t xml:space="preserve">二、人工智能算法公司</w:t>
      </w:r>
    </w:p>
    <w:p>
      <w:pPr>
        <w:spacing w:before="75" w:after="0"/>
      </w:pPr>
      <w:r>
        <w:rPr/>
        <w:t xml:space="preserve">三、传统行业数字化部门</w:t>
      </w:r>
    </w:p>
    <w:p>
      <w:pPr>
        <w:spacing w:before="75" w:after="0"/>
      </w:pPr>
      <w:r>
        <w:rPr>
          <w:b w:val="1"/>
          <w:bCs w:val="1"/>
        </w:rPr>
        <w:t xml:space="preserve">第七章 行业竞争格局深度剖析</w:t>
      </w:r>
    </w:p>
    <w:p>
      <w:pPr>
        <w:spacing w:before="75" w:after="0"/>
      </w:pPr>
      <w:r>
        <w:rPr/>
        <w:t xml:space="preserve">第一节 市场集中度与份额分布</w:t>
      </w:r>
    </w:p>
    <w:p>
      <w:pPr>
        <w:spacing w:before="75" w:after="0"/>
      </w:pPr>
      <w:r>
        <w:rPr/>
        <w:t xml:space="preserve">一、头部智算中心运营商市占率</w:t>
      </w:r>
    </w:p>
    <w:p>
      <w:pPr>
        <w:spacing w:before="75" w:after="0"/>
      </w:pPr>
      <w:r>
        <w:rPr/>
        <w:t xml:space="preserve">二、区域市场垄断与竞争状态</w:t>
      </w:r>
    </w:p>
    <w:p>
      <w:pPr>
        <w:spacing w:before="75" w:after="0"/>
      </w:pPr>
      <w:r>
        <w:rPr/>
        <w:t xml:space="preserve">三、新进入者壁垒高度评估</w:t>
      </w:r>
    </w:p>
    <w:p>
      <w:pPr>
        <w:spacing w:before="75" w:after="0"/>
      </w:pPr>
      <w:r>
        <w:rPr/>
        <w:t xml:space="preserve">第二节 主要竞争主体战略对比</w:t>
      </w:r>
    </w:p>
    <w:p>
      <w:pPr>
        <w:spacing w:before="75" w:after="0"/>
      </w:pPr>
      <w:r>
        <w:rPr/>
        <w:t xml:space="preserve">一、华为、阿里、腾讯等科技企业布局</w:t>
      </w:r>
    </w:p>
    <w:p>
      <w:pPr>
        <w:spacing w:before="75" w:after="0"/>
      </w:pPr>
      <w:r>
        <w:rPr/>
        <w:t xml:space="preserve">二、中科曙光、浪潮、寒武纪等硬件厂商路径</w:t>
      </w:r>
    </w:p>
    <w:p>
      <w:pPr>
        <w:spacing w:before="75" w:after="0"/>
      </w:pPr>
      <w:r>
        <w:rPr/>
        <w:t xml:space="preserve">三、地方政府平台公司参与模式</w:t>
      </w:r>
    </w:p>
    <w:p>
      <w:pPr>
        <w:spacing w:before="75" w:after="0"/>
      </w:pPr>
      <w:r>
        <w:rPr/>
        <w:t xml:space="preserve">第三节 核心竞争维度分析</w:t>
      </w:r>
    </w:p>
    <w:p>
      <w:pPr>
        <w:spacing w:before="75" w:after="0"/>
      </w:pPr>
      <w:r>
        <w:rPr/>
        <w:t xml:space="preserve">一、算力性能与成本效率比</w:t>
      </w:r>
    </w:p>
    <w:p>
      <w:pPr>
        <w:spacing w:before="75" w:after="0"/>
      </w:pPr>
      <w:r>
        <w:rPr/>
        <w:t xml:space="preserve">二、软件生态与工具链完整性</w:t>
      </w:r>
    </w:p>
    <w:p>
      <w:pPr>
        <w:spacing w:before="75" w:after="0"/>
      </w:pPr>
      <w:r>
        <w:rPr/>
        <w:t xml:space="preserve">三、服务响应与定制化能力</w:t>
      </w:r>
    </w:p>
    <w:p>
      <w:pPr>
        <w:spacing w:before="75" w:after="0"/>
      </w:pPr>
      <w:r>
        <w:rPr>
          <w:b w:val="1"/>
          <w:bCs w:val="1"/>
        </w:rPr>
        <w:t xml:space="preserve">第八章 2026-2031年技术发展趋势与创新方向</w:t>
      </w:r>
    </w:p>
    <w:p>
      <w:pPr>
        <w:spacing w:before="75" w:after="0"/>
      </w:pPr>
      <w:r>
        <w:rPr/>
        <w:t xml:space="preserve">第一节 算力架构演进</w:t>
      </w:r>
    </w:p>
    <w:p>
      <w:pPr>
        <w:spacing w:before="75" w:after="0"/>
      </w:pPr>
      <w:r>
        <w:rPr/>
        <w:t xml:space="preserve">一、存算一体与近内存计算探索</w:t>
      </w:r>
    </w:p>
    <w:p>
      <w:pPr>
        <w:spacing w:before="75" w:after="0"/>
      </w:pPr>
      <w:r>
        <w:rPr/>
        <w:t xml:space="preserve">二、光计算与量子计算融合前景</w:t>
      </w:r>
    </w:p>
    <w:p>
      <w:pPr>
        <w:spacing w:before="75" w:after="0"/>
      </w:pPr>
      <w:r>
        <w:rPr/>
        <w:t xml:space="preserve">三、异构混合精度训练支持能力</w:t>
      </w:r>
    </w:p>
    <w:p>
      <w:pPr>
        <w:spacing w:before="75" w:after="0"/>
      </w:pPr>
      <w:r>
        <w:rPr/>
        <w:t xml:space="preserve">第二节 能效与绿色化技术</w:t>
      </w:r>
    </w:p>
    <w:p>
      <w:pPr>
        <w:spacing w:before="75" w:after="0"/>
      </w:pPr>
      <w:r>
        <w:rPr/>
        <w:t xml:space="preserve">一、全液冷智算中心普及路径</w:t>
      </w:r>
    </w:p>
    <w:p>
      <w:pPr>
        <w:spacing w:before="75" w:after="0"/>
      </w:pPr>
      <w:r>
        <w:rPr/>
        <w:t xml:space="preserve">二、可再生能源直供机制构建</w:t>
      </w:r>
    </w:p>
    <w:p>
      <w:pPr>
        <w:spacing w:before="75" w:after="0"/>
      </w:pPr>
      <w:r>
        <w:rPr/>
        <w:t xml:space="preserve">三、碳足迹追踪与零碳运营</w:t>
      </w:r>
    </w:p>
    <w:p>
      <w:pPr>
        <w:spacing w:before="75" w:after="0"/>
      </w:pPr>
      <w:r>
        <w:rPr/>
        <w:t xml:space="preserve">第三节 智能化运维体系</w:t>
      </w:r>
    </w:p>
    <w:p>
      <w:pPr>
        <w:spacing w:before="75" w:after="0"/>
      </w:pPr>
      <w:r>
        <w:rPr/>
        <w:t xml:space="preserve">一、ai for ai：用ai优化ai算力调度</w:t>
      </w:r>
    </w:p>
    <w:p>
      <w:pPr>
        <w:spacing w:before="75" w:after="0"/>
      </w:pPr>
      <w:r>
        <w:rPr/>
        <w:t xml:space="preserve">二、数字孪生在故障预测中应用</w:t>
      </w:r>
    </w:p>
    <w:p>
      <w:pPr>
        <w:spacing w:before="75" w:after="0"/>
      </w:pPr>
      <w:r>
        <w:rPr/>
        <w:t xml:space="preserve">三、自动化扩缩容与弹性计费</w:t>
      </w:r>
    </w:p>
    <w:p>
      <w:pPr>
        <w:spacing w:before="75" w:after="0"/>
      </w:pPr>
      <w:r>
        <w:rPr>
          <w:b w:val="1"/>
          <w:bCs w:val="1"/>
        </w:rPr>
        <w:t xml:space="preserve">第九章 2026-2031年区域发展格局与投资热点</w:t>
      </w:r>
    </w:p>
    <w:p>
      <w:pPr>
        <w:spacing w:before="75" w:after="0"/>
      </w:pPr>
      <w:r>
        <w:rPr/>
        <w:t xml:space="preserve">第一节 国家级智算网络布局深化</w:t>
      </w:r>
    </w:p>
    <w:p>
      <w:pPr>
        <w:spacing w:before="75" w:after="0"/>
      </w:pPr>
      <w:r>
        <w:rPr/>
        <w:t xml:space="preserve">一、全国一体化算力网节点衔接</w:t>
      </w:r>
    </w:p>
    <w:p>
      <w:pPr>
        <w:spacing w:before="75" w:after="0"/>
      </w:pPr>
      <w:r>
        <w:rPr/>
        <w:t xml:space="preserve">二、八大枢纽智算能力差异化定位</w:t>
      </w:r>
    </w:p>
    <w:p>
      <w:pPr>
        <w:spacing w:before="75" w:after="0"/>
      </w:pPr>
      <w:r>
        <w:rPr/>
        <w:t xml:space="preserve">三、跨区域算力交易机制建立</w:t>
      </w:r>
    </w:p>
    <w:p>
      <w:pPr>
        <w:spacing w:before="75" w:after="0"/>
      </w:pPr>
      <w:r>
        <w:rPr/>
        <w:t xml:space="preserve">第二节 重点城市群发展重心</w:t>
      </w:r>
    </w:p>
    <w:p>
      <w:pPr>
        <w:spacing w:before="75" w:after="0"/>
      </w:pPr>
      <w:r>
        <w:rPr/>
        <w:t xml:space="preserve">一、京津冀大模型研发算力高地</w:t>
      </w:r>
    </w:p>
    <w:p>
      <w:pPr>
        <w:spacing w:before="75" w:after="0"/>
      </w:pPr>
      <w:r>
        <w:rPr/>
        <w:t xml:space="preserve">二、长三角产业ai融合示范区</w:t>
      </w:r>
    </w:p>
    <w:p>
      <w:pPr>
        <w:spacing w:before="75" w:after="0"/>
      </w:pPr>
      <w:r>
        <w:rPr/>
        <w:t xml:space="preserve">三、粤港澳大湾区国际智算门户</w:t>
      </w:r>
    </w:p>
    <w:p>
      <w:pPr>
        <w:spacing w:before="75" w:after="0"/>
      </w:pPr>
      <w:r>
        <w:rPr/>
        <w:t xml:space="preserve">第三节 新兴潜力区域崛起</w:t>
      </w:r>
    </w:p>
    <w:p>
      <w:pPr>
        <w:spacing w:before="75" w:after="0"/>
      </w:pPr>
      <w:r>
        <w:rPr/>
        <w:t xml:space="preserve">一、成渝双城经济圈算力备份基地</w:t>
      </w:r>
    </w:p>
    <w:p>
      <w:pPr>
        <w:spacing w:before="75" w:after="0"/>
      </w:pPr>
      <w:r>
        <w:rPr/>
        <w:t xml:space="preserve">二、内蒙古、甘肃绿色智算集群</w:t>
      </w:r>
    </w:p>
    <w:p>
      <w:pPr>
        <w:spacing w:before="75" w:after="0"/>
      </w:pPr>
      <w:r>
        <w:rPr/>
        <w:t xml:space="preserve">三、海南自贸港跨境ai算力通道</w:t>
      </w:r>
    </w:p>
    <w:p>
      <w:pPr>
        <w:spacing w:before="75" w:after="0"/>
      </w:pPr>
      <w:r>
        <w:rPr>
          <w:b w:val="1"/>
          <w:bCs w:val="1"/>
        </w:rPr>
        <w:t xml:space="preserve">第十章 2026-2031年市场规模预测与结构演变</w:t>
      </w:r>
    </w:p>
    <w:p>
      <w:pPr>
        <w:spacing w:before="75" w:after="0"/>
      </w:pPr>
      <w:r>
        <w:rPr/>
        <w:t xml:space="preserve">第一节 整体市场规模预测</w:t>
      </w:r>
    </w:p>
    <w:p>
      <w:pPr>
        <w:spacing w:before="75" w:after="0"/>
      </w:pPr>
      <w:r>
        <w:rPr/>
        <w:t xml:space="preserve">一、智算中心总投资规模预测</w:t>
      </w:r>
    </w:p>
    <w:p>
      <w:pPr>
        <w:spacing w:before="75" w:after="0"/>
      </w:pPr>
      <w:r>
        <w:rPr/>
        <w:t xml:space="preserve">二、总算力(eflops)增长曲线</w:t>
      </w:r>
    </w:p>
    <w:p>
      <w:pPr>
        <w:spacing w:before="75" w:after="0"/>
      </w:pPr>
      <w:r>
        <w:rPr/>
        <w:t xml:space="preserve">三、年度运营收入复合增长率</w:t>
      </w:r>
    </w:p>
    <w:p>
      <w:pPr>
        <w:spacing w:before="75" w:after="0"/>
      </w:pPr>
      <w:r>
        <w:rPr/>
        <w:t xml:space="preserve">第二节 细分市场结构变化</w:t>
      </w:r>
    </w:p>
    <w:p>
      <w:pPr>
        <w:spacing w:before="75" w:after="0"/>
      </w:pPr>
      <w:r>
        <w:rPr/>
        <w:t xml:space="preserve">一、按客户类型需求权重迁移</w:t>
      </w:r>
    </w:p>
    <w:p>
      <w:pPr>
        <w:spacing w:before="75" w:after="0"/>
      </w:pPr>
      <w:r>
        <w:rPr/>
        <w:t xml:space="preserve">二、按算力用途(训练/推理)占比调整</w:t>
      </w:r>
    </w:p>
    <w:p>
      <w:pPr>
        <w:spacing w:before="75" w:after="0"/>
      </w:pPr>
      <w:r>
        <w:rPr/>
        <w:t xml:space="preserve">三、按部署模式(公有/私有/混合)分布</w:t>
      </w:r>
    </w:p>
    <w:p>
      <w:pPr>
        <w:spacing w:before="75" w:after="0"/>
      </w:pPr>
      <w:r>
        <w:rPr/>
        <w:t xml:space="preserve">第三节 区域市场占比重估</w:t>
      </w:r>
    </w:p>
    <w:p>
      <w:pPr>
        <w:spacing w:before="75" w:after="0"/>
      </w:pPr>
      <w:r>
        <w:rPr/>
        <w:t xml:space="preserve">一、东部地区高端算力集聚强化</w:t>
      </w:r>
    </w:p>
    <w:p>
      <w:pPr>
        <w:spacing w:before="75" w:after="0"/>
      </w:pPr>
      <w:r>
        <w:rPr/>
        <w:t xml:space="preserve">二、西部地区绿色算力输出主导</w:t>
      </w:r>
    </w:p>
    <w:p>
      <w:pPr>
        <w:spacing w:before="75" w:after="0"/>
      </w:pPr>
      <w:r>
        <w:rPr/>
        <w:t xml:space="preserve">三、中部地区枢纽衔接作用提升</w:t>
      </w:r>
    </w:p>
    <w:p>
      <w:pPr>
        <w:spacing w:before="75" w:after="0"/>
      </w:pPr>
      <w:r>
        <w:rPr>
          <w:b w:val="1"/>
          <w:bCs w:val="1"/>
        </w:rPr>
        <w:t xml:space="preserve">第十一章 2026-2031年投资机会与风险预警</w:t>
      </w:r>
    </w:p>
    <w:p>
      <w:pPr>
        <w:spacing w:before="75" w:after="0"/>
      </w:pPr>
      <w:r>
        <w:rPr/>
        <w:t xml:space="preserve">第一节 核心投资赛道识别</w:t>
      </w:r>
    </w:p>
    <w:p>
      <w:pPr>
        <w:spacing w:before="75" w:after="0"/>
      </w:pPr>
      <w:r>
        <w:rPr/>
        <w:t xml:space="preserve">一、国产ai芯片配套智算集群</w:t>
      </w:r>
    </w:p>
    <w:p>
      <w:pPr>
        <w:spacing w:before="75" w:after="0"/>
      </w:pPr>
      <w:r>
        <w:rPr/>
        <w:t xml:space="preserve">二、液冷与电力基础设施升级</w:t>
      </w:r>
    </w:p>
    <w:p>
      <w:pPr>
        <w:spacing w:before="75" w:after="0"/>
      </w:pPr>
      <w:r>
        <w:rPr/>
        <w:t xml:space="preserve">三、ai模型即服务(maas)平台</w:t>
      </w:r>
    </w:p>
    <w:p>
      <w:pPr>
        <w:spacing w:before="75" w:after="0"/>
      </w:pPr>
      <w:r>
        <w:rPr/>
        <w:t xml:space="preserve">第二节 资本运作创新模式</w:t>
      </w:r>
    </w:p>
    <w:p>
      <w:pPr>
        <w:spacing w:before="75" w:after="0"/>
      </w:pPr>
      <w:r>
        <w:rPr/>
        <w:t xml:space="preserve">一、智算中心reits可行性路径</w:t>
      </w:r>
    </w:p>
    <w:p>
      <w:pPr>
        <w:spacing w:before="75" w:after="0"/>
      </w:pPr>
      <w:r>
        <w:rPr/>
        <w:t xml:space="preserve">二、算力期货与算力银行探索</w:t>
      </w:r>
    </w:p>
    <w:p>
      <w:pPr>
        <w:spacing w:before="75" w:after="0"/>
      </w:pPr>
      <w:r>
        <w:rPr/>
        <w:t xml:space="preserve">三、跨境算力资产合作机制</w:t>
      </w:r>
    </w:p>
    <w:p>
      <w:pPr>
        <w:spacing w:before="75" w:after="0"/>
      </w:pPr>
      <w:r>
        <w:rPr/>
        <w:t xml:space="preserve">第三节 主要风险因素研判</w:t>
      </w:r>
    </w:p>
    <w:p>
      <w:pPr>
        <w:spacing w:before="75" w:after="0"/>
      </w:pPr>
      <w:r>
        <w:rPr/>
        <w:t xml:space="preserve">一、ai芯片供应链不确定性</w:t>
      </w:r>
    </w:p>
    <w:p>
      <w:pPr>
        <w:spacing w:before="75" w:after="0"/>
      </w:pPr>
      <w:r>
        <w:rPr/>
        <w:t xml:space="preserve">二、大模型技术路线快速迭代</w:t>
      </w:r>
    </w:p>
    <w:p>
      <w:pPr>
        <w:spacing w:before="75" w:after="0"/>
      </w:pPr>
      <w:r>
        <w:rPr/>
        <w:t xml:space="preserve">三、算力过剩与结构性错配风险</w:t>
      </w:r>
    </w:p>
    <w:p>
      <w:pPr>
        <w:spacing w:before="75" w:after="0"/>
      </w:pPr>
      <w:r>
        <w:rPr>
          <w:b w:val="1"/>
          <w:bCs w:val="1"/>
        </w:rPr>
        <w:t xml:space="preserve">第十二章 2026-2031年企业战略布局建议</w:t>
      </w:r>
    </w:p>
    <w:p>
      <w:pPr>
        <w:spacing w:before="75" w:after="0"/>
      </w:pPr>
      <w:r>
        <w:rPr/>
        <w:t xml:space="preserve">第一节 科技巨头与云厂商策略</w:t>
      </w:r>
    </w:p>
    <w:p>
      <w:pPr>
        <w:spacing w:before="75" w:after="0"/>
      </w:pPr>
      <w:r>
        <w:rPr/>
        <w:t xml:space="preserve">一、构建端到端ai全栈能力</w:t>
      </w:r>
    </w:p>
    <w:p>
      <w:pPr>
        <w:spacing w:before="75" w:after="0"/>
      </w:pPr>
      <w:r>
        <w:rPr/>
        <w:t xml:space="preserve">二、开放算力生态吸引开发者</w:t>
      </w:r>
    </w:p>
    <w:p>
      <w:pPr>
        <w:spacing w:before="75" w:after="0"/>
      </w:pPr>
      <w:r>
        <w:rPr/>
        <w:t xml:space="preserve">三、海外智算节点满足出海需求</w:t>
      </w:r>
    </w:p>
    <w:p>
      <w:pPr>
        <w:spacing w:before="75" w:after="0"/>
      </w:pPr>
      <w:r>
        <w:rPr/>
        <w:t xml:space="preserve">第二节 硬件与系统厂商路径</w:t>
      </w:r>
    </w:p>
    <w:p>
      <w:pPr>
        <w:spacing w:before="75" w:after="0"/>
      </w:pPr>
      <w:r>
        <w:rPr/>
        <w:t xml:space="preserve">一、软硬协同优化算力效率</w:t>
      </w:r>
    </w:p>
    <w:p>
      <w:pPr>
        <w:spacing w:before="75" w:after="0"/>
      </w:pPr>
      <w:r>
        <w:rPr/>
        <w:t xml:space="preserve">二、提供交钥匙智算解决方案</w:t>
      </w:r>
    </w:p>
    <w:p>
      <w:pPr>
        <w:spacing w:before="75" w:after="0"/>
      </w:pPr>
      <w:r>
        <w:rPr/>
        <w:t xml:space="preserve">三、参与行业标准制定话语权</w:t>
      </w:r>
    </w:p>
    <w:p>
      <w:pPr>
        <w:spacing w:before="75" w:after="0"/>
      </w:pPr>
      <w:r>
        <w:rPr/>
        <w:t xml:space="preserve">第三节 地方政府与平台公司方向</w:t>
      </w:r>
    </w:p>
    <w:p>
      <w:pPr>
        <w:spacing w:before="75" w:after="0"/>
      </w:pPr>
      <w:r>
        <w:rPr/>
        <w:t xml:space="preserve">一、打造区域ai产业聚集效应</w:t>
      </w:r>
    </w:p>
    <w:p>
      <w:pPr>
        <w:spacing w:before="75" w:after="0"/>
      </w:pPr>
      <w:r>
        <w:rPr/>
        <w:t xml:space="preserve">二、避免重复建设与资源浪费</w:t>
      </w:r>
    </w:p>
    <w:p>
      <w:pPr>
        <w:spacing w:before="75" w:after="0"/>
      </w:pPr>
      <w:r>
        <w:rPr/>
        <w:t xml:space="preserve">三、建立可持续运营商业模式</w:t>
      </w:r>
    </w:p>
    <w:p>
      <w:pPr>
        <w:spacing w:before="75" w:after="0"/>
      </w:pPr>
      <w:r>
        <w:rPr>
          <w:b w:val="1"/>
          <w:bCs w:val="1"/>
        </w:rPr>
        <w:t xml:space="preserve">第十三章 行业标准与评测体系发展趋势</w:t>
      </w:r>
    </w:p>
    <w:p>
      <w:pPr>
        <w:spacing w:before="75" w:after="0"/>
      </w:pPr>
      <w:r>
        <w:rPr/>
        <w:t xml:space="preserve">第一节 国内标准体系建设进展</w:t>
      </w:r>
    </w:p>
    <w:p>
      <w:pPr>
        <w:spacing w:before="75" w:after="0"/>
      </w:pPr>
      <w:r>
        <w:rPr/>
        <w:t xml:space="preserve">一、智算中心能效与算效评价指标</w:t>
      </w:r>
    </w:p>
    <w:p>
      <w:pPr>
        <w:spacing w:before="75" w:after="0"/>
      </w:pPr>
      <w:r>
        <w:rPr/>
        <w:t xml:space="preserve">二、ai芯片互操作性规范</w:t>
      </w:r>
    </w:p>
    <w:p>
      <w:pPr>
        <w:spacing w:before="75" w:after="0"/>
      </w:pPr>
      <w:r>
        <w:rPr/>
        <w:t xml:space="preserve">三、大模型训练环境安全标准</w:t>
      </w:r>
    </w:p>
    <w:p>
      <w:pPr>
        <w:spacing w:before="75" w:after="0"/>
      </w:pPr>
      <w:r>
        <w:rPr/>
        <w:t xml:space="preserve">第二节 国际标准对接与互认</w:t>
      </w:r>
    </w:p>
    <w:p>
      <w:pPr>
        <w:spacing w:before="75" w:after="0"/>
      </w:pPr>
      <w:r>
        <w:rPr/>
        <w:t xml:space="preserve">一、mlperf等国际基准测试采纳</w:t>
      </w:r>
    </w:p>
    <w:p>
      <w:pPr>
        <w:spacing w:before="75" w:after="0"/>
      </w:pPr>
      <w:r>
        <w:rPr/>
        <w:t xml:space="preserve">二、iso/iec人工智能基础设施标准</w:t>
      </w:r>
    </w:p>
    <w:p>
      <w:pPr>
        <w:spacing w:before="75" w:after="0"/>
      </w:pPr>
      <w:r>
        <w:rPr/>
        <w:t xml:space="preserve">三、跨国企业对认证体系要求</w:t>
      </w:r>
    </w:p>
    <w:p>
      <w:pPr>
        <w:spacing w:before="75" w:after="0"/>
      </w:pPr>
      <w:r>
        <w:rPr/>
        <w:t xml:space="preserve">第三节 评测对市场准入影响</w:t>
      </w:r>
    </w:p>
    <w:p>
      <w:pPr>
        <w:spacing w:before="75" w:after="0"/>
      </w:pPr>
      <w:r>
        <w:rPr/>
        <w:t xml:space="preserve">一、客户招标中的性能验证门槛</w:t>
      </w:r>
    </w:p>
    <w:p>
      <w:pPr>
        <w:spacing w:before="75" w:after="0"/>
      </w:pPr>
      <w:r>
        <w:rPr/>
        <w:t xml:space="preserve">二、金融机构对算力可靠性评级</w:t>
      </w:r>
    </w:p>
    <w:p>
      <w:pPr>
        <w:spacing w:before="75" w:after="0"/>
      </w:pPr>
      <w:r>
        <w:rPr/>
        <w:t xml:space="preserve">三、政府项目对国产化率要求</w:t>
      </w:r>
    </w:p>
    <w:p>
      <w:pPr>
        <w:spacing w:before="75" w:after="0"/>
      </w:pPr>
      <w:r>
        <w:rPr>
          <w:b w:val="1"/>
          <w:bCs w:val="1"/>
        </w:rPr>
        <w:t xml:space="preserve">第十四章 能源与可持续发展挑战应对</w:t>
      </w:r>
    </w:p>
    <w:p>
      <w:pPr>
        <w:spacing w:before="75" w:after="0"/>
      </w:pPr>
      <w:r>
        <w:rPr/>
        <w:t xml:space="preserve">第一节 高功耗与电力保障</w:t>
      </w:r>
    </w:p>
    <w:p>
      <w:pPr>
        <w:spacing w:before="75" w:after="0"/>
      </w:pPr>
      <w:r>
        <w:rPr/>
        <w:t xml:space="preserve">一、单机柜功率密度突破趋势</w:t>
      </w:r>
    </w:p>
    <w:p>
      <w:pPr>
        <w:spacing w:before="75" w:after="0"/>
      </w:pPr>
      <w:r>
        <w:rPr/>
        <w:t xml:space="preserve">二、双回路供电与备用电源配置</w:t>
      </w:r>
    </w:p>
    <w:p>
      <w:pPr>
        <w:spacing w:before="75" w:after="0"/>
      </w:pPr>
      <w:r>
        <w:rPr/>
        <w:t xml:space="preserve">三、绿电采购与ppa协议应用</w:t>
      </w:r>
    </w:p>
    <w:p>
      <w:pPr>
        <w:spacing w:before="75" w:after="0"/>
      </w:pPr>
      <w:r>
        <w:rPr/>
        <w:t xml:space="preserve">第二节 碳排放管理机制</w:t>
      </w:r>
    </w:p>
    <w:p>
      <w:pPr>
        <w:spacing w:before="75" w:after="0"/>
      </w:pPr>
      <w:r>
        <w:rPr/>
        <w:t xml:space="preserve">一、全生命周期碳核算方法</w:t>
      </w:r>
    </w:p>
    <w:p>
      <w:pPr>
        <w:spacing w:before="75" w:after="0"/>
      </w:pPr>
      <w:r>
        <w:rPr/>
        <w:t xml:space="preserve">二、参与全国碳市场路径</w:t>
      </w:r>
    </w:p>
    <w:p>
      <w:pPr>
        <w:spacing w:before="75" w:after="0"/>
      </w:pPr>
      <w:r>
        <w:rPr/>
        <w:t xml:space="preserve">三、零碳智算中心认证体系</w:t>
      </w:r>
    </w:p>
    <w:p>
      <w:pPr>
        <w:spacing w:before="75" w:after="0"/>
      </w:pPr>
      <w:r>
        <w:rPr/>
        <w:t xml:space="preserve">第三节 水资源与热管理优化</w:t>
      </w:r>
    </w:p>
    <w:p>
      <w:pPr>
        <w:spacing w:before="75" w:after="0"/>
      </w:pPr>
      <w:r>
        <w:rPr/>
        <w:t xml:space="preserve">一、间接蒸发冷却适用边界</w:t>
      </w:r>
    </w:p>
    <w:p>
      <w:pPr>
        <w:spacing w:before="75" w:after="0"/>
      </w:pPr>
      <w:r>
        <w:rPr/>
        <w:t xml:space="preserve">二、无水冷却技术商业化进程</w:t>
      </w:r>
    </w:p>
    <w:p>
      <w:pPr>
        <w:spacing w:before="75" w:after="0"/>
      </w:pPr>
      <w:r>
        <w:rPr/>
        <w:t xml:space="preserve">三、废热用于区域供暖可行性</w:t>
      </w:r>
    </w:p>
    <w:p>
      <w:pPr>
        <w:spacing w:before="75" w:after="0"/>
      </w:pPr>
      <w:r>
        <w:rPr>
          <w:b w:val="1"/>
          <w:bCs w:val="1"/>
        </w:rPr>
        <w:t xml:space="preserve">第十五章 国际经验借鉴与中国路径选择</w:t>
      </w:r>
    </w:p>
    <w:p>
      <w:pPr>
        <w:spacing w:before="75" w:after="0"/>
      </w:pPr>
      <w:r>
        <w:rPr/>
        <w:t xml:space="preserve">第一节 美国超大规模智算模式</w:t>
      </w:r>
    </w:p>
    <w:p>
      <w:pPr>
        <w:spacing w:before="75" w:after="0"/>
      </w:pPr>
      <w:r>
        <w:rPr/>
        <w:t xml:space="preserve">一、科技公司主导的封闭生态</w:t>
      </w:r>
    </w:p>
    <w:p>
      <w:pPr>
        <w:spacing w:before="75" w:after="0"/>
      </w:pPr>
      <w:r>
        <w:rPr/>
        <w:t xml:space="preserve">二、联邦政府算力共享计划</w:t>
      </w:r>
    </w:p>
    <w:p>
      <w:pPr>
        <w:spacing w:before="75" w:after="0"/>
      </w:pPr>
      <w:r>
        <w:rPr/>
        <w:t xml:space="preserve">三、私营资本高效配置机制</w:t>
      </w:r>
    </w:p>
    <w:p>
      <w:pPr>
        <w:spacing w:before="75" w:after="0"/>
      </w:pPr>
      <w:r>
        <w:rPr/>
        <w:t xml:space="preserve">第二节 欧盟绿色与伦理导向</w:t>
      </w:r>
    </w:p>
    <w:p>
      <w:pPr>
        <w:spacing w:before="75" w:after="0"/>
      </w:pPr>
      <w:r>
        <w:rPr/>
        <w:t xml:space="preserve">一、严格能效与数据主权约束</w:t>
      </w:r>
    </w:p>
    <w:p>
      <w:pPr>
        <w:spacing w:before="75" w:after="0"/>
      </w:pPr>
      <w:r>
        <w:rPr/>
        <w:t xml:space="preserve">二、公共智算平台普惠原则</w:t>
      </w:r>
    </w:p>
    <w:p>
      <w:pPr>
        <w:spacing w:before="75" w:after="0"/>
      </w:pPr>
      <w:r>
        <w:rPr/>
        <w:t xml:space="preserve">三、ai伦理审查嵌入基础设施</w:t>
      </w:r>
    </w:p>
    <w:p>
      <w:pPr>
        <w:spacing w:before="75" w:after="0"/>
      </w:pPr>
      <w:r>
        <w:rPr/>
        <w:t xml:space="preserve">第三节 中国差异化发展路径</w:t>
      </w:r>
    </w:p>
    <w:p>
      <w:pPr>
        <w:spacing w:before="75" w:after="0"/>
      </w:pPr>
      <w:r>
        <w:rPr/>
        <w:t xml:space="preserve">一、政府引导与市场活力结合</w:t>
      </w:r>
    </w:p>
    <w:p>
      <w:pPr>
        <w:spacing w:before="75" w:after="0"/>
      </w:pPr>
      <w:r>
        <w:rPr/>
        <w:t xml:space="preserve">二、安全可控与开放创新平衡</w:t>
      </w:r>
    </w:p>
    <w:p>
      <w:pPr>
        <w:spacing w:before="75" w:after="0"/>
      </w:pPr>
      <w:r>
        <w:rPr/>
        <w:t xml:space="preserve">三、东中西部协同发展机制</w:t>
      </w:r>
    </w:p>
    <w:p>
      <w:pPr>
        <w:spacing w:before="75" w:after="0"/>
      </w:pPr>
      <w:r>
        <w:rPr>
          <w:b w:val="1"/>
          <w:bCs w:val="1"/>
        </w:rPr>
        <w:t xml:space="preserve">第十六章 2026-2031年结论与战略展望</w:t>
      </w:r>
    </w:p>
    <w:p>
      <w:pPr>
        <w:spacing w:before="75" w:after="0"/>
      </w:pPr>
      <w:r>
        <w:rPr/>
        <w:t xml:space="preserve">第一节 行业发展核心驱动力总结</w:t>
      </w:r>
    </w:p>
    <w:p>
      <w:pPr>
        <w:spacing w:before="75" w:after="0"/>
      </w:pPr>
      <w:r>
        <w:rPr/>
        <w:t xml:space="preserve">一、大模型时代对专用算力刚性需求</w:t>
      </w:r>
    </w:p>
    <w:p>
      <w:pPr>
        <w:spacing w:before="75" w:after="0"/>
      </w:pPr>
      <w:r>
        <w:rPr/>
        <w:t xml:space="preserve">二、产业智能化从试点走向规模化</w:t>
      </w:r>
    </w:p>
    <w:p>
      <w:pPr>
        <w:spacing w:before="75" w:after="0"/>
      </w:pPr>
      <w:r>
        <w:rPr/>
        <w:t xml:space="preserve">三、国家战略科技力量底层支撑</w:t>
      </w:r>
    </w:p>
    <w:p>
      <w:pPr>
        <w:spacing w:before="75" w:after="0"/>
      </w:pPr>
      <w:r>
        <w:rPr/>
        <w:t xml:space="preserve">第二节 未来五年关键成功要素</w:t>
      </w:r>
    </w:p>
    <w:p>
      <w:pPr>
        <w:spacing w:before="75" w:after="0"/>
      </w:pPr>
      <w:r>
        <w:rPr/>
        <w:t xml:space="preserve">一、算力性价比与生态粘性</w:t>
      </w:r>
    </w:p>
    <w:p>
      <w:pPr>
        <w:spacing w:before="75" w:after="0"/>
      </w:pPr>
      <w:r>
        <w:rPr/>
        <w:t xml:space="preserve">二、绿色合规与长期运营能力</w:t>
      </w:r>
    </w:p>
    <w:p>
      <w:pPr>
        <w:spacing w:before="75" w:after="0"/>
      </w:pPr>
      <w:r>
        <w:rPr/>
        <w:t xml:space="preserve">三、技术前瞻性与迭代敏捷性</w:t>
      </w:r>
    </w:p>
    <w:p>
      <w:pPr>
        <w:spacing w:before="75" w:after="0"/>
      </w:pPr>
      <w:r>
        <w:rPr/>
        <w:t xml:space="preserve">第三节 长期战略建议</w:t>
      </w:r>
    </w:p>
    <w:p>
      <w:pPr>
        <w:spacing w:before="75" w:after="0"/>
      </w:pPr>
      <w:r>
        <w:rPr/>
        <w:t xml:space="preserve">一、构建“芯片-系统-平台-应用”全栈能力</w:t>
      </w:r>
    </w:p>
    <w:p>
      <w:pPr>
        <w:spacing w:before="75" w:after="0"/>
      </w:pPr>
      <w:r>
        <w:rPr/>
        <w:t xml:space="preserve">二、推动算力资源市场化配置机制</w:t>
      </w:r>
    </w:p>
    <w:p>
      <w:pPr>
        <w:spacing w:before="75" w:after="0"/>
      </w:pPr>
      <w:r>
        <w:rPr/>
        <w:t xml:space="preserve">三、积极参与全球ai基础设施治理</w:t>
      </w:r>
    </w:p>
    <w:p>
      <w:pPr>
        <w:spacing w:before="75" w:after="0"/>
      </w:pPr>
      <w:r>
        <w:rPr>
          <w:b w:val="1"/>
          <w:bCs w:val="1"/>
        </w:rPr>
        <w:t xml:space="preserve">图表目录</w:t>
      </w:r>
    </w:p>
    <w:p>
      <w:pPr>
        <w:spacing w:before="75" w:after="0"/>
      </w:pPr>
      <w:r>
        <w:rPr/>
        <w:t xml:space="preserve">图表：2023-2025年全球智算中心市场规模及增速</w:t>
      </w:r>
    </w:p>
    <w:p>
      <w:pPr>
        <w:spacing w:before="75" w:after="0"/>
      </w:pPr>
      <w:r>
        <w:rPr/>
        <w:t xml:space="preserve">图表：2023-2025年北美智算中心总算力规模</w:t>
      </w:r>
    </w:p>
    <w:p>
      <w:pPr>
        <w:spacing w:before="75" w:after="0"/>
      </w:pPr>
      <w:r>
        <w:rPr/>
        <w:t xml:space="preserve">图表：2023-2025年欧洲绿色智算中心项目数量</w:t>
      </w:r>
    </w:p>
    <w:p>
      <w:pPr>
        <w:spacing w:before="75" w:after="0"/>
      </w:pPr>
      <w:r>
        <w:rPr/>
        <w:t xml:space="preserve">图表：2023-2025年亚太地区智算投资增长率</w:t>
      </w:r>
    </w:p>
    <w:p>
      <w:pPr>
        <w:spacing w:before="75" w:after="0"/>
      </w:pPr>
      <w:r>
        <w:rPr/>
        <w:t xml:space="preserve">图表：2023-2025年全球ai芯片出货量结构</w:t>
      </w:r>
    </w:p>
    <w:p>
      <w:pPr>
        <w:spacing w:before="75" w:after="0"/>
      </w:pPr>
      <w:r>
        <w:rPr/>
        <w:t xml:space="preserve">图表：2023-2025年中国智算中心已投运数量</w:t>
      </w:r>
    </w:p>
    <w:p>
      <w:pPr>
        <w:spacing w:before="75" w:after="0"/>
      </w:pPr>
      <w:r>
        <w:rPr/>
        <w:t xml:space="preserve">图表：2023-2025年中国智算中心总算力(eflops)</w:t>
      </w:r>
    </w:p>
    <w:p>
      <w:pPr>
        <w:spacing w:before="75" w:after="0"/>
      </w:pPr>
      <w:r>
        <w:rPr/>
        <w:t xml:space="preserve">图表：2023-2025年中国智算中心年度投资额</w:t>
      </w:r>
    </w:p>
    <w:p>
      <w:pPr>
        <w:spacing w:before="75" w:after="0"/>
      </w:pPr>
      <w:r>
        <w:rPr/>
        <w:t xml:space="preserve">图表：2023-2025年东部地区智算中心占比</w:t>
      </w:r>
    </w:p>
    <w:p>
      <w:pPr>
        <w:spacing w:before="75" w:after="0"/>
      </w:pPr>
      <w:r>
        <w:rPr/>
        <w:t xml:space="preserve">图表：2023-2025年中西部智算中心新增项目数</w:t>
      </w:r>
    </w:p>
    <w:p>
      <w:pPr>
        <w:spacing w:before="75" w:after="0"/>
      </w:pPr>
      <w:r>
        <w:rPr/>
        <w:t xml:space="preserve">图表：2023-2025年政府主导型智算项目比例</w:t>
      </w:r>
    </w:p>
    <w:p>
      <w:pPr>
        <w:spacing w:before="75" w:after="0"/>
      </w:pPr>
      <w:r>
        <w:rPr/>
        <w:t xml:space="preserve">图表：2023-2025年企业自建智算中心占比</w:t>
      </w:r>
    </w:p>
    <w:p>
      <w:pPr>
        <w:spacing w:before="75" w:after="0"/>
      </w:pPr>
      <w:r>
        <w:rPr/>
        <w:t xml:space="preserve">图表：2023-2025年国产ai芯片在智算中心部署率</w:t>
      </w:r>
    </w:p>
    <w:p>
      <w:pPr>
        <w:spacing w:before="75" w:after="0"/>
      </w:pPr>
      <w:r>
        <w:rPr/>
        <w:t xml:space="preserve">图表：2023-2025年智算中心平均算力利用率</w:t>
      </w:r>
    </w:p>
    <w:p>
      <w:pPr>
        <w:spacing w:before="75" w:after="0"/>
      </w:pPr>
      <w:r>
        <w:rPr/>
        <w:t xml:space="preserve">图表：2023-2025年智算中心pue均值</w:t>
      </w:r>
    </w:p>
    <w:p>
      <w:pPr>
        <w:spacing w:before="75" w:after="0"/>
      </w:pPr>
      <w:r>
        <w:rPr/>
        <w:t xml:space="preserve">图表：2023-2025年大模型训练算力需求规模</w:t>
      </w:r>
    </w:p>
    <w:p>
      <w:pPr>
        <w:spacing w:before="75" w:after="0"/>
      </w:pPr>
      <w:r>
        <w:rPr/>
        <w:t xml:space="preserve">图表：2023-2025年金融行业智算采购支出</w:t>
      </w:r>
    </w:p>
    <w:p>
      <w:pPr>
        <w:spacing w:before="75" w:after="0"/>
      </w:pPr>
      <w:r>
        <w:rPr/>
        <w:t xml:space="preserve">图表：2023-2025年政务智算平台建设项目数</w:t>
      </w:r>
    </w:p>
    <w:p>
      <w:pPr>
        <w:spacing w:before="75" w:after="0"/>
      </w:pPr>
      <w:r>
        <w:rPr/>
        <w:t xml:space="preserve">图表：2023-2025年智算中心上游芯片厂商份额</w:t>
      </w:r>
    </w:p>
    <w:p>
      <w:pPr>
        <w:spacing w:before="75" w:after="0"/>
      </w:pPr>
      <w:r>
        <w:rPr/>
        <w:t xml:space="preserve">图表：2023-2025年服务器供应商市场集中度</w:t>
      </w:r>
    </w:p>
    <w:p>
      <w:pPr>
        <w:spacing w:before="75" w:after="0"/>
      </w:pPr>
      <w:r>
        <w:rPr/>
        <w:t xml:space="preserve">图表：2023-2025年液冷设备在智算中心渗透率</w:t>
      </w:r>
    </w:p>
    <w:p>
      <w:pPr>
        <w:spacing w:before="75" w:after="0"/>
      </w:pPr>
      <w:r>
        <w:rPr/>
        <w:t xml:space="preserve">图表：2023-2025年华为昇腾智算集群规模</w:t>
      </w:r>
    </w:p>
    <w:p>
      <w:pPr>
        <w:spacing w:before="75" w:after="0"/>
      </w:pPr>
      <w:r>
        <w:rPr/>
        <w:t xml:space="preserve">图表：2023-2025年阿里云pai智算平台使用量</w:t>
      </w:r>
    </w:p>
    <w:p>
      <w:pPr>
        <w:spacing w:before="75" w:after="0"/>
      </w:pPr>
      <w:r>
        <w:rPr/>
        <w:t xml:space="preserve">图表：2023-2025年中科曙光智算中心市占率</w:t>
      </w:r>
    </w:p>
    <w:p>
      <w:pPr>
        <w:spacing w:before="75" w:after="0"/>
      </w:pPr>
      <w:r>
        <w:rPr/>
        <w:t xml:space="preserve">图表：2023-2025年智算中心行业cr5集中度</w:t>
      </w:r>
    </w:p>
    <w:p>
      <w:pPr>
        <w:spacing w:before="75" w:after="0"/>
      </w:pPr>
      <w:r>
        <w:rPr/>
        <w:t xml:space="preserve">图表：2026-2031年中国智算中心市场规模预测</w:t>
      </w:r>
    </w:p>
    <w:p>
      <w:pPr>
        <w:spacing w:before="75" w:after="0"/>
      </w:pPr>
      <w:r>
        <w:rPr/>
        <w:t xml:space="preserve">图表：2026-2031年中国总算力(eflops)预测</w:t>
      </w:r>
    </w:p>
    <w:p>
      <w:pPr>
        <w:spacing w:before="75" w:after="0"/>
      </w:pPr>
      <w:r>
        <w:rPr/>
        <w:t xml:space="preserve">图表：2026-2031年智算中心投资复合增长率</w:t>
      </w:r>
    </w:p>
    <w:p>
      <w:pPr>
        <w:spacing w:before="75" w:after="0"/>
      </w:pPr>
      <w:r>
        <w:rPr/>
        <w:t xml:space="preserve">图表：2026-2031年国产ai芯片部署比例预测</w:t>
      </w:r>
    </w:p>
    <w:p>
      <w:pPr>
        <w:spacing w:before="75" w:after="0"/>
      </w:pPr>
      <w:r>
        <w:rPr/>
        <w:t xml:space="preserve">图表：2026-2031年液冷智算中心占比预测</w:t>
      </w:r>
    </w:p>
    <w:p>
      <w:pPr>
        <w:spacing w:before="75" w:after="0"/>
      </w:pPr>
      <w:r>
        <w:rPr/>
        <w:t xml:space="preserve">图表：2026-2031年绿电使用比例预测</w:t>
      </w:r>
    </w:p>
    <w:p>
      <w:pPr>
        <w:spacing w:before="75" w:after="0"/>
      </w:pPr>
      <w:r>
        <w:rPr/>
        <w:t xml:space="preserve">图表：2026-2031年大模型训练算力需求预测</w:t>
      </w:r>
    </w:p>
    <w:p>
      <w:pPr>
        <w:spacing w:before="75" w:after="0"/>
      </w:pPr>
      <w:r>
        <w:rPr/>
        <w:t xml:space="preserve">图表：2026-2031年企业私有智算支出预测</w:t>
      </w:r>
    </w:p>
    <w:p>
      <w:pPr>
        <w:spacing w:before="75" w:after="0"/>
      </w:pPr>
      <w:r>
        <w:rPr/>
        <w:t xml:space="preserve">图表：2026-2031年政务智算平台覆盖率预测</w:t>
      </w:r>
    </w:p>
    <w:p>
      <w:pPr>
        <w:spacing w:before="75" w:after="0"/>
      </w:pPr>
      <w:r>
        <w:rPr/>
        <w:t xml:space="preserve">图表：2026-2031年西部智算输出占比预测</w:t>
      </w:r>
    </w:p>
    <w:p>
      <w:pPr>
        <w:spacing w:before="75" w:after="0"/>
      </w:pPr>
      <w:r>
        <w:rPr/>
        <w:t xml:space="preserve">图表：2026-2031年边缘智算节点数量预测</w:t>
      </w:r>
    </w:p>
    <w:p>
      <w:pPr>
        <w:spacing w:before="75" w:after="0"/>
      </w:pPr>
      <w:r>
        <w:rPr/>
        <w:t xml:space="preserve">图表：2026-2031年ai模型即服务(maas)市场规模</w:t>
      </w:r>
    </w:p>
    <w:p>
      <w:pPr>
        <w:spacing w:before="75" w:after="0"/>
      </w:pPr>
      <w:r>
        <w:rPr/>
        <w:t xml:space="preserve">图表：2026-2031年智算中心reits发行潜力</w:t>
      </w:r>
    </w:p>
    <w:p>
      <w:pPr>
        <w:spacing w:before="75" w:after="0"/>
      </w:pPr>
      <w:r>
        <w:rPr/>
        <w:t xml:space="preserve">图表：2023-2025年智算中心单机柜功率密度</w:t>
      </w:r>
    </w:p>
    <w:p>
      <w:pPr>
        <w:spacing w:before="75" w:after="0"/>
      </w:pPr>
      <w:r>
        <w:rPr/>
        <w:t xml:space="preserve">图表：2026-2031年单机柜功率密度预测</w:t>
      </w:r>
    </w:p>
    <w:p>
      <w:pPr>
        <w:spacing w:before="75" w:after="0"/>
      </w:pPr>
      <w:r>
        <w:rPr/>
        <w:t xml:space="preserve">图表：2023-2025年智算中心网络时延水平</w:t>
      </w:r>
    </w:p>
    <w:p>
      <w:pPr>
        <w:spacing w:before="75" w:after="0"/>
      </w:pPr>
      <w:r>
        <w:rPr/>
        <w:t xml:space="preserve">图表：2026-2031年算力调度自动化率预测</w:t>
      </w:r>
    </w:p>
    <w:p>
      <w:pPr>
        <w:spacing w:before="75" w:after="0"/>
      </w:pPr>
      <w:r>
        <w:rPr/>
        <w:t xml:space="preserve">图表：2023-2025年ai框架兼容性支持度</w:t>
      </w:r>
    </w:p>
    <w:p>
      <w:pPr>
        <w:spacing w:before="75" w:after="0"/>
      </w:pPr>
      <w:r>
        <w:rPr/>
        <w:t xml:space="preserve">图表：2026-2031年多租户隔离技术普及率</w:t>
      </w:r>
    </w:p>
    <w:p>
      <w:pPr>
        <w:spacing w:before="75" w:after="0"/>
      </w:pPr>
      <w:r>
        <w:rPr/>
        <w:t xml:space="preserve">图表：2023-2025年智算人才结构分布</w:t>
      </w:r>
    </w:p>
    <w:p>
      <w:pPr>
        <w:spacing w:before="75" w:after="0"/>
      </w:pPr>
      <w:r>
        <w:rPr/>
        <w:t xml:space="preserve">图表：2026-2031年智算运维ai化率预测</w:t>
      </w:r>
    </w:p>
    <w:p>
      <w:pPr>
        <w:spacing w:before="75" w:after="0"/>
      </w:pPr>
      <w:r>
        <w:rPr/>
        <w:t xml:space="preserve">图表：2023-2025年全球智算中心能效标准采纳率</w:t>
      </w:r>
    </w:p>
    <w:p>
      <w:pPr>
        <w:spacing w:before="75" w:after="0"/>
      </w:pPr>
      <w:r>
        <w:rPr/>
        <w:t xml:space="preserve">图表：2026-2031年中国零碳智算中心数量预测</w:t>
      </w:r>
    </w:p>
    <w:p>
      <w:pPr>
        <w:spacing w:before="75" w:after="0"/>
      </w:pPr>
      <w:r>
        <w:rPr/>
        <w:t xml:space="preserve">图表：2023-2025年跨境算力合作项目数量</w:t>
      </w:r>
    </w:p>
    <w:p>
      <w:pPr>
        <w:spacing w:before="75" w:after="0"/>
      </w:pPr>
      <w:r>
        <w:rPr/>
        <w:t xml:space="preserve">图表：2026-2031年国际智算标准互认进展预测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2026-2031年中国智算中心行业全景调研及投资战略咨询报告</dc:title>
  <dc:description>2026-2031年中国智算中心行业全景调研及投资战略咨询报告</dc:description>
  <dc:subject>2026-2031年中国智算中心行业全景调研及投资战略咨询报告</dc:subject>
  <cp:keywords>研究报告</cp:keywords>
  <cp:category>研究报告</cp:category>
  <cp:lastModifiedBy>北京中道泰和信息咨询有限公司</cp:lastModifiedBy>
  <dcterms:created xsi:type="dcterms:W3CDTF">2026-03-30T22:02:34+08:00</dcterms:created>
  <dcterms:modified xsi:type="dcterms:W3CDTF">2026-03-30T22:02:34+08:00</dcterms:modified>
</cp:coreProperties>
</file>

<file path=docProps/custom.xml><?xml version="1.0" encoding="utf-8"?>
<Properties xmlns="http://schemas.openxmlformats.org/officeDocument/2006/custom-properties" xmlns:vt="http://schemas.openxmlformats.org/officeDocument/2006/docPropsVTypes"/>
</file>