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2026-2031年中国抗体寡核苷酸偶联物（AOC）行业市场发展现状及投资前景预测报告</w:t>
      </w:r>
    </w:p>
    <w:p>
      <w:pPr>
        <w:spacing w:after="150"/>
      </w:pPr>
      <w:r>
        <w:rPr>
          <w:b w:val="1"/>
          <w:bCs w:val="1"/>
        </w:rPr>
        <w:t xml:space="preserve">报告简介</w:t>
      </w:r>
    </w:p>
    <w:p>
      <w:pPr>
        <w:spacing w:after="150"/>
      </w:pPr>
      <w:r>
        <w:rPr/>
        <w:t xml:space="preserve">抗体寡核苷酸偶联物(Antibody-Oligonucleotide Conjugates, AOC)行业是生物医药领域前沿创新的战略性新兴细分产业，其核心功能在于通过化学偶联或生物连接技术，将单克隆抗体的靶向识别能力与寡核苷酸(包括siRNA、ASO、miRNA、mRNA等)的基因调控功能有机结合，实现对特定细胞或组织的精准核酸药物递送，解决传统寡核苷酸药物脱靶效应强、组织穿透性差、细胞内化效率低等关键瓶颈。从产业范畴来看，AOC行业涵盖上游核心技术平台(抗体工程改造、寡核苷酸化学修饰、可裂解/不可裂解连接子设计、偶联工艺开发)，中游产品开发与临床转化(靶点筛选、候选分子优化、CMC工艺开发、临床前与临床研究)，以及下游商业化生产与临床应用(肿瘤治疗、遗传性疾病、神经系统疾病、自身免疫疾病等)的完整产业链条。按照寡核苷酸类型可分为AOC-siRNA(基因沉默)、AOC-ASO(剪接调控或RNase H降解)、AOC-miRNA(基因表达调控)及AOC-mRNA(蛋白替代或免疫激活)等，按照靶向策略则形成肿瘤靶向、免疫细胞靶向、器官特异性靶向等多元技术路线。随着核酸药物与抗体药物偶联技术的双重成熟，AOC正从概念验证向临床价值兑现转变，其产业边界不断向细胞基因治疗联合应用、多载荷偶联、智能响应型递送系统等前沿方向延伸。</w:t>
      </w:r>
    </w:p>
    <w:p>
      <w:pPr>
        <w:spacing w:after="150"/>
      </w:pPr>
      <w:r>
        <w:rPr/>
        <w:t xml:space="preserve">当前，中国AOC行业正处于技术平台构建与早期临床探索的关键孵化期。作为继ADC(抗体药物偶联物)之后的下一代抗体偶联技术方向，AOC在全球范围内尚处于早期发展阶段，国际头部企业如Avidity Biosciences、Dyne Therapeutics等已进入临床验证阶段，初步数据展现出良好的靶向递送效率与安全性特征。国内方面，部分创新型生物药企与科研机构开始布局AOC技术平台，在抗体筛选、连接子化学、寡核苷酸修饰等关键环节形成一定技术积累，但整体上仍处于跟随模仿与平台搭建阶段，与国际领先水平存在显著差距。行业面临的核心挑战包括：从技术端看，AOC分子设计复杂度高，抗体与寡核苷酸的偶联位点选择、连接子稳定性与释放效率平衡、偶联均一性控制等技术难题尚待突破，规模化生产工艺与质量控制体系远未成熟;从临床端看，AOC的免疫原性、脱靶毒性、体内代谢动力学特征需要大量临床数据验证，适应症选择与联合用药策略需要探索;从产业端看，AOC研发需要抗体工程、核酸化学、偶联工艺、制剂开发等多学科深度协同，专业人才稀缺且培养周期长，研发成本高昂且失败风险大，对持续资本投入依赖度高;从监管端看，AOC作为新型生物制品，其监管分类、审评标准、质量控制要求尚在形成中，与全球监管机构的沟通机制需要建立。在此背景下，技术平台原创性与临床转化效率成为行业突破的核心命题。未来，中国AOC行业将在\"健康中国\"战略与\"生物医药产业创新发展\"的双重驱动下，进入技术积累与差异化布局的关键阶段。从市场前景看，全球核酸药物市场持续扩容，AOC作为解决核酸药物递送瓶颈的潜力技术方向，在肿瘤精准治疗、遗传性疾病干预等领域具有巨大临床价值，若关键技术突破与临床验证成功，有望复制ADC领域的爆发式增长轨迹，成为生物制药领域的重要增长极。产业格局层面，具备抗体工程与核酸化学双重技术能力、原创性AOC平台专利布局、高效临床转化执行力及国际化合作网络的头部创新企业将确立先发优势，行业处于早期竞争格局形成期，技术路线选择与适应症聚焦的战略决策将深刻影响企业命运，跨界融合(抗体药物、核酸药物、基因治疗、AI制药)催生新型生物技术公司，而技术平台薄弱、临床推进缓慢、资金链断裂的企业将面临淘汰。总体而言，AOC行业正经历从\"科学概念\"向\"技术平台\"、从\"实验室研究\"向\"临床验证\"的关键转变，2026-2030年将是技术路线验证、平台能力构建、临床数据积累、产业生态培育的重要窗口期，深刻理解核酸药物演进趋势与抗体偶联技术创新规律，对于制定科学的研发布局战略、把握AOC领域发展机遇具有重大战略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体寡核苷酸偶联物行业研究单位等公布和提供的大量资料。报告对我国抗体寡核苷酸偶联物行业的供需状况、发展现状、子行业发展变化等进行了分析，重点分析了国内外抗体寡核苷酸偶联物行业的发展现状、如何面对行业的发展挑战、行业的发展建议、行业竞争力，以及行业的投资分析和趋势预测等等。报告还综合了抗体寡核苷酸偶联物行业的整体发展动态，对行业在产品方面提供了参考建议和具体解决办法。报告对于抗体寡核苷酸偶联物产品生产企业、经销商、行业管理部门以及拟进入该行业的投资者具有重要的参考价值，对于研究我国抗体寡核苷酸偶联物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aoc行业概述</w:t>
      </w:r>
    </w:p>
    <w:p>
      <w:pPr>
        <w:spacing w:before="75" w:after="0"/>
      </w:pPr>
      <w:r>
        <w:rPr/>
        <w:t xml:space="preserve">第一节 aoc的定义与结构特征</w:t>
      </w:r>
    </w:p>
    <w:p>
      <w:pPr>
        <w:spacing w:before="75" w:after="0"/>
      </w:pPr>
      <w:r>
        <w:rPr/>
        <w:t xml:space="preserve">一、aoc的基本概念界定</w:t>
      </w:r>
    </w:p>
    <w:p>
      <w:pPr>
        <w:spacing w:before="75" w:after="0"/>
      </w:pPr>
      <w:r>
        <w:rPr/>
        <w:t xml:space="preserve">二、抗体、连接子、寡核苷酸三要素结构</w:t>
      </w:r>
    </w:p>
    <w:p>
      <w:pPr>
        <w:spacing w:before="75" w:after="0"/>
      </w:pPr>
      <w:r>
        <w:rPr/>
        <w:t xml:space="preserve">三、aoc与adc、aso、sirna的本质区别与协同</w:t>
      </w:r>
    </w:p>
    <w:p>
      <w:pPr>
        <w:spacing w:before="75" w:after="0"/>
      </w:pPr>
      <w:r>
        <w:rPr/>
        <w:t xml:space="preserve">第二节 aoc的主要分类</w:t>
      </w:r>
    </w:p>
    <w:p>
      <w:pPr>
        <w:spacing w:before="75" w:after="0"/>
      </w:pPr>
      <w:r>
        <w:rPr/>
        <w:t xml:space="preserve">一、按寡核苷酸类型分类</w:t>
      </w:r>
    </w:p>
    <w:p>
      <w:pPr>
        <w:spacing w:before="75" w:after="0"/>
      </w:pPr>
      <w:r>
        <w:rPr/>
        <w:t xml:space="preserve">二、按抗体靶点分类</w:t>
      </w:r>
    </w:p>
    <w:p>
      <w:pPr>
        <w:spacing w:before="75" w:after="0"/>
      </w:pPr>
      <w:r>
        <w:rPr/>
        <w:t xml:space="preserve">三、按治疗领域分类</w:t>
      </w:r>
    </w:p>
    <w:p>
      <w:pPr>
        <w:spacing w:before="75" w:after="0"/>
      </w:pPr>
      <w:r>
        <w:rPr/>
        <w:t xml:space="preserve">第三节 aoc产业链结构</w:t>
      </w:r>
    </w:p>
    <w:p>
      <w:pPr>
        <w:spacing w:before="75" w:after="0"/>
      </w:pPr>
      <w:r>
        <w:rPr/>
        <w:t xml:space="preserve">一、上游：抗体生产、寡核苷酸合成、修饰核苷酸、连接子、脂质</w:t>
      </w:r>
    </w:p>
    <w:p>
      <w:pPr>
        <w:spacing w:before="75" w:after="0"/>
      </w:pPr>
      <w:r>
        <w:rPr/>
        <w:t xml:space="preserve">二、中游：偶联工艺开发、制剂优化、质量控制、cro/cdmo</w:t>
      </w:r>
    </w:p>
    <w:p>
      <w:pPr>
        <w:spacing w:before="75" w:after="0"/>
      </w:pPr>
      <w:r>
        <w:rPr/>
        <w:t xml:space="preserve">三、下游：罕见病治疗中心、神经专科、肿瘤中心、国际市场</w:t>
      </w:r>
    </w:p>
    <w:p>
      <w:pPr>
        <w:spacing w:before="75" w:after="0"/>
      </w:pPr>
      <w:r>
        <w:rPr>
          <w:b w:val="1"/>
          <w:bCs w:val="1"/>
        </w:rPr>
        <w:t xml:space="preserve">第二章 全球aoc市场发展现状</w:t>
      </w:r>
    </w:p>
    <w:p>
      <w:pPr>
        <w:spacing w:before="75" w:after="0"/>
      </w:pPr>
      <w:r>
        <w:rPr/>
        <w:t xml:space="preserve">第一节 全球aoc市场规模分析</w:t>
      </w:r>
    </w:p>
    <w:p>
      <w:pPr>
        <w:spacing w:before="75" w:after="0"/>
      </w:pPr>
      <w:r>
        <w:rPr/>
        <w:t xml:space="preserve">一、2023-2025年全球市场规模及阶段</w:t>
      </w:r>
    </w:p>
    <w:p>
      <w:pPr>
        <w:spacing w:before="75" w:after="0"/>
      </w:pPr>
      <w:r>
        <w:rPr/>
        <w:t xml:space="preserve">二、临床阶段管线分布与估值</w:t>
      </w:r>
    </w:p>
    <w:p>
      <w:pPr>
        <w:spacing w:before="75" w:after="0"/>
      </w:pPr>
      <w:r>
        <w:rPr/>
        <w:t xml:space="preserve">三、2026-2031年全球市场增长预测</w:t>
      </w:r>
    </w:p>
    <w:p>
      <w:pPr>
        <w:spacing w:before="75" w:after="0"/>
      </w:pPr>
      <w:r>
        <w:rPr/>
        <w:t xml:space="preserve">第二节 全球aoc技术演进趋势</w:t>
      </w:r>
    </w:p>
    <w:p>
      <w:pPr>
        <w:spacing w:before="75" w:after="0"/>
      </w:pPr>
      <w:r>
        <w:rPr/>
        <w:t xml:space="preserve">一、血脑屏障穿透与cns靶向</w:t>
      </w:r>
    </w:p>
    <w:p>
      <w:pPr>
        <w:spacing w:before="75" w:after="0"/>
      </w:pPr>
      <w:r>
        <w:rPr/>
        <w:t xml:space="preserve">二、肝外递送与器官选择性</w:t>
      </w:r>
    </w:p>
    <w:p>
      <w:pPr>
        <w:spacing w:before="75" w:after="0"/>
      </w:pPr>
      <w:r>
        <w:rPr/>
        <w:t xml:space="preserve">三、多价寡核苷酸与多靶点沉默</w:t>
      </w:r>
    </w:p>
    <w:p>
      <w:pPr>
        <w:spacing w:before="75" w:after="0"/>
      </w:pPr>
      <w:r>
        <w:rPr/>
        <w:t xml:space="preserve">第三节 全球产业格局与区域特征</w:t>
      </w:r>
    </w:p>
    <w:p>
      <w:pPr>
        <w:spacing w:before="75" w:after="0"/>
      </w:pPr>
      <w:r>
        <w:rPr/>
        <w:t xml:space="preserve">一、美国技术起源与avidity、denali领先</w:t>
      </w:r>
    </w:p>
    <w:p>
      <w:pPr>
        <w:spacing w:before="75" w:after="0"/>
      </w:pPr>
      <w:r>
        <w:rPr/>
        <w:t xml:space="preserve">二、欧洲生物制药与递送技术</w:t>
      </w:r>
    </w:p>
    <w:p>
      <w:pPr>
        <w:spacing w:before="75" w:after="0"/>
      </w:pPr>
      <w:r>
        <w:rPr/>
        <w:t xml:space="preserve">三、中国快速跟进与差异化布局</w:t>
      </w:r>
    </w:p>
    <w:p>
      <w:pPr>
        <w:spacing w:before="75" w:after="0"/>
      </w:pPr>
      <w:r>
        <w:rPr>
          <w:b w:val="1"/>
          <w:bCs w:val="1"/>
        </w:rPr>
        <w:t xml:space="preserve">第三章 中国aoc行业发展环境</w:t>
      </w:r>
    </w:p>
    <w:p>
      <w:pPr>
        <w:spacing w:before="75" w:after="0"/>
      </w:pPr>
      <w:r>
        <w:rPr/>
        <w:t xml:space="preserve">第一节 神经肌肉疾病与罕见病环境</w:t>
      </w:r>
    </w:p>
    <w:p>
      <w:pPr>
        <w:spacing w:before="75" w:after="0"/>
      </w:pPr>
      <w:r>
        <w:rPr/>
        <w:t xml:space="preserve">一、杜氏肌营养不良(dmd)负担</w:t>
      </w:r>
    </w:p>
    <w:p>
      <w:pPr>
        <w:spacing w:before="75" w:after="0"/>
      </w:pPr>
      <w:r>
        <w:rPr/>
        <w:t xml:space="preserve">二、脊髓性肌萎缩症(sma)与als</w:t>
      </w:r>
    </w:p>
    <w:p>
      <w:pPr>
        <w:spacing w:before="75" w:after="0"/>
      </w:pPr>
      <w:r>
        <w:rPr/>
        <w:t xml:space="preserve">三、亨廷顿病与阿尔茨海默病</w:t>
      </w:r>
    </w:p>
    <w:p>
      <w:pPr>
        <w:spacing w:before="75" w:after="0"/>
      </w:pPr>
      <w:r>
        <w:rPr/>
        <w:t xml:space="preserve">第二节 核酸药物产业基础环境</w:t>
      </w:r>
    </w:p>
    <w:p>
      <w:pPr>
        <w:spacing w:before="75" w:after="0"/>
      </w:pPr>
      <w:r>
        <w:rPr/>
        <w:t xml:space="preserve">一、sirna/aso技术积累</w:t>
      </w:r>
    </w:p>
    <w:p>
      <w:pPr>
        <w:spacing w:before="75" w:after="0"/>
      </w:pPr>
      <w:r>
        <w:rPr/>
        <w:t xml:space="preserve">二、抗体药物与adc产业协同</w:t>
      </w:r>
    </w:p>
    <w:p>
      <w:pPr>
        <w:spacing w:before="75" w:after="0"/>
      </w:pPr>
      <w:r>
        <w:rPr/>
        <w:t xml:space="preserve">三、lnp与靶向递送技术突破</w:t>
      </w:r>
    </w:p>
    <w:p>
      <w:pPr>
        <w:spacing w:before="75" w:after="0"/>
      </w:pPr>
      <w:r>
        <w:rPr/>
        <w:t xml:space="preserve">第三节 政策与监管环境</w:t>
      </w:r>
    </w:p>
    <w:p>
      <w:pPr>
        <w:spacing w:before="75" w:after="0"/>
      </w:pPr>
      <w:r>
        <w:rPr/>
        <w:t xml:space="preserve">一、罕见病药物审评审批激励</w:t>
      </w:r>
    </w:p>
    <w:p>
      <w:pPr>
        <w:spacing w:before="75" w:after="0"/>
      </w:pPr>
      <w:r>
        <w:rPr/>
        <w:t xml:space="preserve">二、核酸药物技术指导原则</w:t>
      </w:r>
    </w:p>
    <w:p>
      <w:pPr>
        <w:spacing w:before="75" w:after="0"/>
      </w:pPr>
      <w:r>
        <w:rPr/>
        <w:t xml:space="preserve">三、创新药出海与国际多中心临床</w:t>
      </w:r>
    </w:p>
    <w:p>
      <w:pPr>
        <w:spacing w:before="75" w:after="0"/>
      </w:pPr>
      <w:r>
        <w:rPr>
          <w:b w:val="1"/>
          <w:bCs w:val="1"/>
        </w:rPr>
        <w:t xml:space="preserve">第四章 中国aoc市场供需分析</w:t>
      </w:r>
    </w:p>
    <w:p>
      <w:pPr>
        <w:spacing w:before="75" w:after="0"/>
      </w:pPr>
      <w:r>
        <w:rPr/>
        <w:t xml:space="preserve">第一节 市场需求结构分析</w:t>
      </w:r>
    </w:p>
    <w:p>
      <w:pPr>
        <w:spacing w:before="75" w:after="0"/>
      </w:pPr>
      <w:r>
        <w:rPr/>
        <w:t xml:space="preserve">一、神经肌肉疾病aoc需求</w:t>
      </w:r>
    </w:p>
    <w:p>
      <w:pPr>
        <w:spacing w:before="75" w:after="0"/>
      </w:pPr>
      <w:r>
        <w:rPr/>
        <w:t xml:space="preserve">二、中枢神经系统疾病aoc需求</w:t>
      </w:r>
    </w:p>
    <w:p>
      <w:pPr>
        <w:spacing w:before="75" w:after="0"/>
      </w:pPr>
      <w:r>
        <w:rPr/>
        <w:t xml:space="preserve">三、肿瘤aoc需求</w:t>
      </w:r>
    </w:p>
    <w:p>
      <w:pPr>
        <w:spacing w:before="75" w:after="0"/>
      </w:pPr>
      <w:r>
        <w:rPr/>
        <w:t xml:space="preserve">四、眼科与代谢疾病aoc需求</w:t>
      </w:r>
    </w:p>
    <w:p>
      <w:pPr>
        <w:spacing w:before="75" w:after="0"/>
      </w:pPr>
      <w:r>
        <w:rPr/>
        <w:t xml:space="preserve">第二节 市场供给能力分析</w:t>
      </w:r>
    </w:p>
    <w:p>
      <w:pPr>
        <w:spacing w:before="75" w:after="0"/>
      </w:pPr>
      <w:r>
        <w:rPr/>
        <w:t xml:space="preserve">一、aoc研发企业数量与布局</w:t>
      </w:r>
    </w:p>
    <w:p>
      <w:pPr>
        <w:spacing w:before="75" w:after="0"/>
      </w:pPr>
      <w:r>
        <w:rPr/>
        <w:t xml:space="preserve">二、在研管线与临床阶段</w:t>
      </w:r>
    </w:p>
    <w:p>
      <w:pPr>
        <w:spacing w:before="75" w:after="0"/>
      </w:pPr>
      <w:r>
        <w:rPr/>
        <w:t xml:space="preserve">三、偶联技术与生产能力</w:t>
      </w:r>
    </w:p>
    <w:p>
      <w:pPr>
        <w:spacing w:before="75" w:after="0"/>
      </w:pPr>
      <w:r>
        <w:rPr/>
        <w:t xml:space="preserve">第三节 供需匹配与技术瓶颈</w:t>
      </w:r>
    </w:p>
    <w:p>
      <w:pPr>
        <w:spacing w:before="75" w:after="0"/>
      </w:pPr>
      <w:r>
        <w:rPr/>
        <w:t xml:space="preserve">一、血脑屏障穿透验证</w:t>
      </w:r>
    </w:p>
    <w:p>
      <w:pPr>
        <w:spacing w:before="75" w:after="0"/>
      </w:pPr>
      <w:r>
        <w:rPr/>
        <w:t xml:space="preserve">二、肝外递送效率优化</w:t>
      </w:r>
    </w:p>
    <w:p>
      <w:pPr>
        <w:spacing w:before="75" w:after="0"/>
      </w:pPr>
      <w:r>
        <w:rPr/>
        <w:t xml:space="preserve">三、规模化生产与质控</w:t>
      </w:r>
    </w:p>
    <w:p>
      <w:pPr>
        <w:spacing w:before="75" w:after="0"/>
      </w:pPr>
      <w:r>
        <w:rPr>
          <w:b w:val="1"/>
          <w:bCs w:val="1"/>
        </w:rPr>
        <w:t xml:space="preserve">第五章 中国aoc市场规模与增长预测</w:t>
      </w:r>
    </w:p>
    <w:p>
      <w:pPr>
        <w:spacing w:before="75" w:after="0"/>
      </w:pPr>
      <w:r>
        <w:rPr/>
        <w:t xml:space="preserve">第一节 2023-2025年市场规模回顾</w:t>
      </w:r>
    </w:p>
    <w:p>
      <w:pPr>
        <w:spacing w:before="75" w:after="0"/>
      </w:pPr>
      <w:r>
        <w:rPr/>
        <w:t xml:space="preserve">一、整体市场规模及阶段(临床前/临床)</w:t>
      </w:r>
    </w:p>
    <w:p>
      <w:pPr>
        <w:spacing w:before="75" w:after="0"/>
      </w:pPr>
      <w:r>
        <w:rPr/>
        <w:t xml:space="preserve">二、研发投入与融资规模</w:t>
      </w:r>
    </w:p>
    <w:p>
      <w:pPr>
        <w:spacing w:before="75" w:after="0"/>
      </w:pPr>
      <w:r>
        <w:rPr/>
        <w:t xml:space="preserve">三、license-out与引进交易</w:t>
      </w:r>
    </w:p>
    <w:p>
      <w:pPr>
        <w:spacing w:before="75" w:after="0"/>
      </w:pPr>
      <w:r>
        <w:rPr/>
        <w:t xml:space="preserve">第二节 2026-2031年市场规模预测</w:t>
      </w:r>
    </w:p>
    <w:p>
      <w:pPr>
        <w:spacing w:before="75" w:after="0"/>
      </w:pPr>
      <w:r>
        <w:rPr/>
        <w:t xml:space="preserve">一、首个aoc产品上市时间预测</w:t>
      </w:r>
    </w:p>
    <w:p>
      <w:pPr>
        <w:spacing w:before="75" w:after="0"/>
      </w:pPr>
      <w:r>
        <w:rPr/>
        <w:t xml:space="preserve">二、上市后放量预测模型</w:t>
      </w:r>
    </w:p>
    <w:p>
      <w:pPr>
        <w:spacing w:before="75" w:after="0"/>
      </w:pPr>
      <w:r>
        <w:rPr/>
        <w:t xml:space="preserve">三、细分适应症市场贡献</w:t>
      </w:r>
    </w:p>
    <w:p>
      <w:pPr>
        <w:spacing w:before="75" w:after="0"/>
      </w:pPr>
      <w:r>
        <w:rPr/>
        <w:t xml:space="preserve">第三节 市场增长驱动因素</w:t>
      </w:r>
    </w:p>
    <w:p>
      <w:pPr>
        <w:spacing w:before="75" w:after="0"/>
      </w:pPr>
      <w:r>
        <w:rPr/>
        <w:t xml:space="preserve">一、罕见病药物需求迫切</w:t>
      </w:r>
    </w:p>
    <w:p>
      <w:pPr>
        <w:spacing w:before="75" w:after="0"/>
      </w:pPr>
      <w:r>
        <w:rPr/>
        <w:t xml:space="preserve">二、cns药物递送突破</w:t>
      </w:r>
    </w:p>
    <w:p>
      <w:pPr>
        <w:spacing w:before="75" w:after="0"/>
      </w:pPr>
      <w:r>
        <w:rPr/>
        <w:t xml:space="preserve">三、技术验证与临床数据积累</w:t>
      </w:r>
    </w:p>
    <w:p>
      <w:pPr>
        <w:spacing w:before="75" w:after="0"/>
      </w:pPr>
      <w:r>
        <w:rPr>
          <w:b w:val="1"/>
          <w:bCs w:val="1"/>
        </w:rPr>
        <w:t xml:space="preserve">第六章 aoc技术平台与作用机制</w:t>
      </w:r>
    </w:p>
    <w:p>
      <w:pPr>
        <w:spacing w:before="75" w:after="0"/>
      </w:pPr>
      <w:r>
        <w:rPr/>
        <w:t xml:space="preserve">第一节 抗体介导的靶向递送</w:t>
      </w:r>
    </w:p>
    <w:p>
      <w:pPr>
        <w:spacing w:before="75" w:after="0"/>
      </w:pPr>
      <w:r>
        <w:rPr/>
        <w:t xml:space="preserve">一、转铁蛋白受体(tfr1)介导的cns递送</w:t>
      </w:r>
    </w:p>
    <w:p>
      <w:pPr>
        <w:spacing w:before="75" w:after="0"/>
      </w:pPr>
      <w:r>
        <w:rPr/>
        <w:t xml:space="preserve">二、cd71与组织选择性靶向</w:t>
      </w:r>
    </w:p>
    <w:p>
      <w:pPr>
        <w:spacing w:before="75" w:after="0"/>
      </w:pPr>
      <w:r>
        <w:rPr/>
        <w:t xml:space="preserve">三、肿瘤相关抗原靶向</w:t>
      </w:r>
    </w:p>
    <w:p>
      <w:pPr>
        <w:spacing w:before="75" w:after="0"/>
      </w:pPr>
      <w:r>
        <w:rPr/>
        <w:t xml:space="preserve">第二节 寡核苷酸载荷与作用</w:t>
      </w:r>
    </w:p>
    <w:p>
      <w:pPr>
        <w:spacing w:before="75" w:after="0"/>
      </w:pPr>
      <w:r>
        <w:rPr/>
        <w:t xml:space="preserve">一、sirna与基因沉默</w:t>
      </w:r>
    </w:p>
    <w:p>
      <w:pPr>
        <w:spacing w:before="75" w:after="0"/>
      </w:pPr>
      <w:r>
        <w:rPr/>
        <w:t xml:space="preserve">二、aso与剪接调控、rnase h降解</w:t>
      </w:r>
    </w:p>
    <w:p>
      <w:pPr>
        <w:spacing w:before="75" w:after="0"/>
      </w:pPr>
      <w:r>
        <w:rPr/>
        <w:t xml:space="preserve">三、pmo与外显子跳跃</w:t>
      </w:r>
    </w:p>
    <w:p>
      <w:pPr>
        <w:spacing w:before="75" w:after="0"/>
      </w:pPr>
      <w:r>
        <w:rPr/>
        <w:t xml:space="preserve">第三节 连接子与偶联技术</w:t>
      </w:r>
    </w:p>
    <w:p>
      <w:pPr>
        <w:spacing w:before="75" w:after="0"/>
      </w:pPr>
      <w:r>
        <w:rPr/>
        <w:t xml:space="preserve">一、可裂解与不可裂解连接子</w:t>
      </w:r>
    </w:p>
    <w:p>
      <w:pPr>
        <w:spacing w:before="75" w:after="0"/>
      </w:pPr>
      <w:r>
        <w:rPr/>
        <w:t xml:space="preserve">二、化学偶联与位点特异性偶联</w:t>
      </w:r>
    </w:p>
    <w:p>
      <w:pPr>
        <w:spacing w:before="75" w:after="0"/>
      </w:pPr>
      <w:r>
        <w:rPr/>
        <w:t xml:space="preserve">三、dar值优化与均一性控制</w:t>
      </w:r>
    </w:p>
    <w:p>
      <w:pPr>
        <w:spacing w:before="75" w:after="0"/>
      </w:pPr>
      <w:r>
        <w:rPr>
          <w:b w:val="1"/>
          <w:bCs w:val="1"/>
        </w:rPr>
        <w:t xml:space="preserve">第七章 神经肌肉疾病aoc市场分析</w:t>
      </w:r>
    </w:p>
    <w:p>
      <w:pPr>
        <w:spacing w:before="75" w:after="0"/>
      </w:pPr>
      <w:r>
        <w:rPr/>
        <w:t xml:space="preserve">第一节 杜氏肌营养不良(dmd)</w:t>
      </w:r>
    </w:p>
    <w:p>
      <w:pPr>
        <w:spacing w:before="75" w:after="0"/>
      </w:pPr>
      <w:r>
        <w:rPr/>
        <w:t xml:space="preserve">一、dmd基因突变与外显子跳跃</w:t>
      </w:r>
    </w:p>
    <w:p>
      <w:pPr>
        <w:spacing w:before="75" w:after="0"/>
      </w:pPr>
      <w:r>
        <w:rPr/>
        <w:t xml:space="preserve">二、pmo-aoc与抗体增强递送</w:t>
      </w:r>
    </w:p>
    <w:p>
      <w:pPr>
        <w:spacing w:before="75" w:after="0"/>
      </w:pPr>
      <w:r>
        <w:rPr/>
        <w:t xml:space="preserve">三、临床进展与竞争格局</w:t>
      </w:r>
    </w:p>
    <w:p>
      <w:pPr>
        <w:spacing w:before="75" w:after="0"/>
      </w:pPr>
      <w:r>
        <w:rPr/>
        <w:t xml:space="preserve">第二节 脊髓性肌萎缩症(sma)</w:t>
      </w:r>
    </w:p>
    <w:p>
      <w:pPr>
        <w:spacing w:before="75" w:after="0"/>
      </w:pPr>
      <w:r>
        <w:rPr/>
        <w:t xml:space="preserve">一、smn2剪接调控机制</w:t>
      </w:r>
    </w:p>
    <w:p>
      <w:pPr>
        <w:spacing w:before="75" w:after="0"/>
      </w:pPr>
      <w:r>
        <w:rPr/>
        <w:t xml:space="preserve">二、aso-aoc与cns靶向</w:t>
      </w:r>
    </w:p>
    <w:p>
      <w:pPr>
        <w:spacing w:before="75" w:after="0"/>
      </w:pPr>
      <w:r>
        <w:rPr/>
        <w:t xml:space="preserve">三、与nusinersen、zolgensma差异化</w:t>
      </w:r>
    </w:p>
    <w:p>
      <w:pPr>
        <w:spacing w:before="75" w:after="0"/>
      </w:pPr>
      <w:r>
        <w:rPr/>
        <w:t xml:space="preserve">第三节 其他神经肌肉疾病</w:t>
      </w:r>
    </w:p>
    <w:p>
      <w:pPr>
        <w:spacing w:before="75" w:after="0"/>
      </w:pPr>
      <w:r>
        <w:rPr/>
        <w:t xml:space="preserve">一、肌强直性营养不良</w:t>
      </w:r>
    </w:p>
    <w:p>
      <w:pPr>
        <w:spacing w:before="75" w:after="0"/>
      </w:pPr>
      <w:r>
        <w:rPr/>
        <w:t xml:space="preserve">二、面肩肱型肌营养不良</w:t>
      </w:r>
    </w:p>
    <w:p>
      <w:pPr>
        <w:spacing w:before="75" w:after="0"/>
      </w:pPr>
      <w:r>
        <w:rPr/>
        <w:t xml:space="preserve">三、先天性肌病</w:t>
      </w:r>
    </w:p>
    <w:p>
      <w:pPr>
        <w:spacing w:before="75" w:after="0"/>
      </w:pPr>
      <w:r>
        <w:rPr>
          <w:b w:val="1"/>
          <w:bCs w:val="1"/>
        </w:rPr>
        <w:t xml:space="preserve">第八章 中枢神经系统疾病aoc市场分析</w:t>
      </w:r>
    </w:p>
    <w:p>
      <w:pPr>
        <w:spacing w:before="75" w:after="0"/>
      </w:pPr>
      <w:r>
        <w:rPr/>
        <w:t xml:space="preserve">第一节 阿尔茨海默病</w:t>
      </w:r>
    </w:p>
    <w:p>
      <w:pPr>
        <w:spacing w:before="75" w:after="0"/>
      </w:pPr>
      <w:r>
        <w:rPr/>
        <w:t xml:space="preserve">一、tau蛋白与app/bace1靶点</w:t>
      </w:r>
    </w:p>
    <w:p>
      <w:pPr>
        <w:spacing w:before="75" w:after="0"/>
      </w:pPr>
      <w:r>
        <w:rPr/>
        <w:t xml:space="preserve">二、sirna-aoc与基因沉默</w:t>
      </w:r>
    </w:p>
    <w:p>
      <w:pPr>
        <w:spacing w:before="75" w:after="0"/>
      </w:pPr>
      <w:r>
        <w:rPr/>
        <w:t xml:space="preserve">三、早期干预与疾病修饰</w:t>
      </w:r>
    </w:p>
    <w:p>
      <w:pPr>
        <w:spacing w:before="75" w:after="0"/>
      </w:pPr>
      <w:r>
        <w:rPr/>
        <w:t xml:space="preserve">第二节 亨廷顿病</w:t>
      </w:r>
    </w:p>
    <w:p>
      <w:pPr>
        <w:spacing w:before="75" w:after="0"/>
      </w:pPr>
      <w:r>
        <w:rPr/>
        <w:t xml:space="preserve">一、htt基因与突变蛋白</w:t>
      </w:r>
    </w:p>
    <w:p>
      <w:pPr>
        <w:spacing w:before="75" w:after="0"/>
      </w:pPr>
      <w:r>
        <w:rPr/>
        <w:t xml:space="preserve">二、等位基因选择性沉默</w:t>
      </w:r>
    </w:p>
    <w:p>
      <w:pPr>
        <w:spacing w:before="75" w:after="0"/>
      </w:pPr>
      <w:r>
        <w:rPr/>
        <w:t xml:space="preserve">三、cns广泛分布需求</w:t>
      </w:r>
    </w:p>
    <w:p>
      <w:pPr>
        <w:spacing w:before="75" w:after="0"/>
      </w:pPr>
      <w:r>
        <w:rPr/>
        <w:t xml:space="preserve">第三节 其他cns疾病</w:t>
      </w:r>
    </w:p>
    <w:p>
      <w:pPr>
        <w:spacing w:before="75" w:after="0"/>
      </w:pPr>
      <w:r>
        <w:rPr/>
        <w:t xml:space="preserve">一、帕金森病与α-突触核蛋白</w:t>
      </w:r>
    </w:p>
    <w:p>
      <w:pPr>
        <w:spacing w:before="75" w:after="0"/>
      </w:pPr>
      <w:r>
        <w:rPr/>
        <w:t xml:space="preserve">二、als与sod1、c9orf72</w:t>
      </w:r>
    </w:p>
    <w:p>
      <w:pPr>
        <w:spacing w:before="75" w:after="0"/>
      </w:pPr>
      <w:r>
        <w:rPr/>
        <w:t xml:space="preserve">三、脑肿瘤与跨越血脑屏障</w:t>
      </w:r>
    </w:p>
    <w:p>
      <w:pPr>
        <w:spacing w:before="75" w:after="0"/>
      </w:pPr>
      <w:r>
        <w:rPr>
          <w:b w:val="1"/>
          <w:bCs w:val="1"/>
        </w:rPr>
        <w:t xml:space="preserve">第九章 肿瘤与其他疾病aoc市场分析</w:t>
      </w:r>
    </w:p>
    <w:p>
      <w:pPr>
        <w:spacing w:before="75" w:after="0"/>
      </w:pPr>
      <w:r>
        <w:rPr/>
        <w:t xml:space="preserve">第一节 肿瘤aoc</w:t>
      </w:r>
    </w:p>
    <w:p>
      <w:pPr>
        <w:spacing w:before="75" w:after="0"/>
      </w:pPr>
      <w:r>
        <w:rPr/>
        <w:t xml:space="preserve">一、肿瘤抗原靶向与免疫调节</w:t>
      </w:r>
    </w:p>
    <w:p>
      <w:pPr>
        <w:spacing w:before="75" w:after="0"/>
      </w:pPr>
      <w:r>
        <w:rPr/>
        <w:t xml:space="preserve">二、免疫检查点sirna-aoc</w:t>
      </w:r>
    </w:p>
    <w:p>
      <w:pPr>
        <w:spacing w:before="75" w:after="0"/>
      </w:pPr>
      <w:r>
        <w:rPr/>
        <w:t xml:space="preserve">三、与adc、car-t联合</w:t>
      </w:r>
    </w:p>
    <w:p>
      <w:pPr>
        <w:spacing w:before="75" w:after="0"/>
      </w:pPr>
      <w:r>
        <w:rPr/>
        <w:t xml:space="preserve">第二节 眼科疾病aoc</w:t>
      </w:r>
    </w:p>
    <w:p>
      <w:pPr>
        <w:spacing w:before="75" w:after="0"/>
      </w:pPr>
      <w:r>
        <w:rPr/>
        <w:t xml:space="preserve">一、眼底病变与玻璃体注射</w:t>
      </w:r>
    </w:p>
    <w:p>
      <w:pPr>
        <w:spacing w:before="75" w:after="0"/>
      </w:pPr>
      <w:r>
        <w:rPr/>
        <w:t xml:space="preserve">二、抗vegf sirna-aoc</w:t>
      </w:r>
    </w:p>
    <w:p>
      <w:pPr>
        <w:spacing w:before="75" w:after="0"/>
      </w:pPr>
      <w:r>
        <w:rPr/>
        <w:t xml:space="preserve">三、基因治疗替代方案</w:t>
      </w:r>
    </w:p>
    <w:p>
      <w:pPr>
        <w:spacing w:before="75" w:after="0"/>
      </w:pPr>
      <w:r>
        <w:rPr/>
        <w:t xml:space="preserve">第三节 代谢与心血管疾病</w:t>
      </w:r>
    </w:p>
    <w:p>
      <w:pPr>
        <w:spacing w:before="75" w:after="0"/>
      </w:pPr>
      <w:r>
        <w:rPr/>
        <w:t xml:space="preserve">一、肝脏特异性靶向优化</w:t>
      </w:r>
    </w:p>
    <w:p>
      <w:pPr>
        <w:spacing w:before="75" w:after="0"/>
      </w:pPr>
      <w:r>
        <w:rPr/>
        <w:t xml:space="preserve">二、pcsk9、apoc3等靶点</w:t>
      </w:r>
    </w:p>
    <w:p>
      <w:pPr>
        <w:spacing w:before="75" w:after="0"/>
      </w:pPr>
      <w:r>
        <w:rPr/>
        <w:t xml:space="preserve">三、与galnac-sirna竞争</w:t>
      </w:r>
    </w:p>
    <w:p>
      <w:pPr>
        <w:spacing w:before="75" w:after="0"/>
      </w:pPr>
      <w:r>
        <w:rPr>
          <w:b w:val="1"/>
          <w:bCs w:val="1"/>
        </w:rPr>
        <w:t xml:space="preserve">第十章 aoc偶联工艺与cmc</w:t>
      </w:r>
    </w:p>
    <w:p>
      <w:pPr>
        <w:spacing w:before="75" w:after="0"/>
      </w:pPr>
      <w:r>
        <w:rPr/>
        <w:t xml:space="preserve">第一节 抗体与寡核苷酸制备</w:t>
      </w:r>
    </w:p>
    <w:p>
      <w:pPr>
        <w:spacing w:before="75" w:after="0"/>
      </w:pPr>
      <w:r>
        <w:rPr/>
        <w:t xml:space="preserve">一、抗体选择与优化</w:t>
      </w:r>
    </w:p>
    <w:p>
      <w:pPr>
        <w:spacing w:before="75" w:after="0"/>
      </w:pPr>
      <w:r>
        <w:rPr/>
        <w:t xml:space="preserve">二、sirna/aso合成与修饰</w:t>
      </w:r>
    </w:p>
    <w:p>
      <w:pPr>
        <w:spacing w:before="75" w:after="0"/>
      </w:pPr>
      <w:r>
        <w:rPr/>
        <w:t xml:space="preserve">三、质量属性与稳定性</w:t>
      </w:r>
    </w:p>
    <w:p>
      <w:pPr>
        <w:spacing w:before="75" w:after="0"/>
      </w:pPr>
      <w:r>
        <w:rPr/>
        <w:t xml:space="preserve">第二节 偶联工艺开发</w:t>
      </w:r>
    </w:p>
    <w:p>
      <w:pPr>
        <w:spacing w:before="75" w:after="0"/>
      </w:pPr>
      <w:r>
        <w:rPr/>
        <w:t xml:space="preserve">一、化学偶联：巯基-马来酰亚胺、点击化学</w:t>
      </w:r>
    </w:p>
    <w:p>
      <w:pPr>
        <w:spacing w:before="75" w:after="0"/>
      </w:pPr>
      <w:r>
        <w:rPr/>
        <w:t xml:space="preserve">二、酶催化偶联：sortase、transglutaminase</w:t>
      </w:r>
    </w:p>
    <w:p>
      <w:pPr>
        <w:spacing w:before="75" w:after="0"/>
      </w:pPr>
      <w:r>
        <w:rPr/>
        <w:t xml:space="preserve">三、位点特异性偶联技术</w:t>
      </w:r>
    </w:p>
    <w:p>
      <w:pPr>
        <w:spacing w:before="75" w:after="0"/>
      </w:pPr>
      <w:r>
        <w:rPr/>
        <w:t xml:space="preserve">第三节 制剂与质量控制</w:t>
      </w:r>
    </w:p>
    <w:p>
      <w:pPr>
        <w:spacing w:before="75" w:after="0"/>
      </w:pPr>
      <w:r>
        <w:rPr/>
        <w:t xml:space="preserve">一、制剂配方与稳定性</w:t>
      </w:r>
    </w:p>
    <w:p>
      <w:pPr>
        <w:spacing w:before="75" w:after="0"/>
      </w:pPr>
      <w:r>
        <w:rPr/>
        <w:t xml:space="preserve">二、dar值与偶联位点分析</w:t>
      </w:r>
    </w:p>
    <w:p>
      <w:pPr>
        <w:spacing w:before="75" w:after="0"/>
      </w:pPr>
      <w:r>
        <w:rPr/>
        <w:t xml:space="preserve">三、体内外活性与安全性评价</w:t>
      </w:r>
    </w:p>
    <w:p>
      <w:pPr>
        <w:spacing w:before="75" w:after="0"/>
      </w:pPr>
      <w:r>
        <w:rPr>
          <w:b w:val="1"/>
          <w:bCs w:val="1"/>
        </w:rPr>
        <w:t xml:space="preserve">第十一章 aoc临床开发与安全性</w:t>
      </w:r>
    </w:p>
    <w:p>
      <w:pPr>
        <w:spacing w:before="75" w:after="0"/>
      </w:pPr>
      <w:r>
        <w:rPr/>
        <w:t xml:space="preserve">第一节 临床开发策略</w:t>
      </w:r>
    </w:p>
    <w:p>
      <w:pPr>
        <w:spacing w:before="75" w:after="0"/>
      </w:pPr>
      <w:r>
        <w:rPr/>
        <w:t xml:space="preserve">一、罕见病加速审批路径</w:t>
      </w:r>
    </w:p>
    <w:p>
      <w:pPr>
        <w:spacing w:before="75" w:after="0"/>
      </w:pPr>
      <w:r>
        <w:rPr/>
        <w:t xml:space="preserve">二、生物标志物与替代终点</w:t>
      </w:r>
    </w:p>
    <w:p>
      <w:pPr>
        <w:spacing w:before="75" w:after="0"/>
      </w:pPr>
      <w:r>
        <w:rPr/>
        <w:t xml:space="preserve">三、cns药物pk/pd挑战</w:t>
      </w:r>
    </w:p>
    <w:p>
      <w:pPr>
        <w:spacing w:before="75" w:after="0"/>
      </w:pPr>
      <w:r>
        <w:rPr/>
        <w:t xml:space="preserve">第二节 安全性考量</w:t>
      </w:r>
    </w:p>
    <w:p>
      <w:pPr>
        <w:spacing w:before="75" w:after="0"/>
      </w:pPr>
      <w:r>
        <w:rPr/>
        <w:t xml:space="preserve">一、免疫原性与抗抗体</w:t>
      </w:r>
    </w:p>
    <w:p>
      <w:pPr>
        <w:spacing w:before="75" w:after="0"/>
      </w:pPr>
      <w:r>
        <w:rPr/>
        <w:t xml:space="preserve">二、寡核苷酸相关毒性：血小板减少、肾毒性</w:t>
      </w:r>
    </w:p>
    <w:p>
      <w:pPr>
        <w:spacing w:before="75" w:after="0"/>
      </w:pPr>
      <w:r>
        <w:rPr/>
        <w:t xml:space="preserve">三、cns安全性与神经毒性</w:t>
      </w:r>
    </w:p>
    <w:p>
      <w:pPr>
        <w:spacing w:before="75" w:after="0"/>
      </w:pPr>
      <w:r>
        <w:rPr/>
        <w:t xml:space="preserve">第三节 临床进展与案例</w:t>
      </w:r>
    </w:p>
    <w:p>
      <w:pPr>
        <w:spacing w:before="75" w:after="0"/>
      </w:pPr>
      <w:r>
        <w:rPr/>
        <w:t xml:space="preserve">一、aoc 1001(dmd)临床数据</w:t>
      </w:r>
    </w:p>
    <w:p>
      <w:pPr>
        <w:spacing w:before="75" w:after="0"/>
      </w:pPr>
      <w:r>
        <w:rPr/>
        <w:t xml:space="preserve">二、其他aoc管线进展</w:t>
      </w:r>
    </w:p>
    <w:p>
      <w:pPr>
        <w:spacing w:before="75" w:after="0"/>
      </w:pPr>
      <w:r>
        <w:rPr/>
        <w:t xml:space="preserve">三、失败案例与教训</w:t>
      </w:r>
    </w:p>
    <w:p>
      <w:pPr>
        <w:spacing w:before="75" w:after="0"/>
      </w:pPr>
      <w:r>
        <w:rPr>
          <w:b w:val="1"/>
          <w:bCs w:val="1"/>
        </w:rPr>
        <w:t xml:space="preserve">第十二章 aoc行业竞争格局</w:t>
      </w:r>
    </w:p>
    <w:p>
      <w:pPr>
        <w:spacing w:before="75" w:after="0"/>
      </w:pPr>
      <w:r>
        <w:rPr/>
        <w:t xml:space="preserve">第一节 行业竞争态势分析</w:t>
      </w:r>
    </w:p>
    <w:p>
      <w:pPr>
        <w:spacing w:before="75" w:after="0"/>
      </w:pPr>
      <w:r>
        <w:rPr/>
        <w:t xml:space="preserve">一、全球aoc管线分布与靶点</w:t>
      </w:r>
    </w:p>
    <w:p>
      <w:pPr>
        <w:spacing w:before="75" w:after="0"/>
      </w:pPr>
      <w:r>
        <w:rPr/>
        <w:t xml:space="preserve">二、技术平台公司 vs 管线公司</w:t>
      </w:r>
    </w:p>
    <w:p>
      <w:pPr>
        <w:spacing w:before="75" w:after="0"/>
      </w:pPr>
      <w:r>
        <w:rPr/>
        <w:t xml:space="preserve">三、big pharma布局与合作</w:t>
      </w:r>
    </w:p>
    <w:p>
      <w:pPr>
        <w:spacing w:before="75" w:after="0"/>
      </w:pPr>
      <w:r>
        <w:rPr/>
        <w:t xml:space="preserve">第二节 国内主要企业竞争力</w:t>
      </w:r>
    </w:p>
    <w:p>
      <w:pPr>
        <w:spacing w:before="75" w:after="0"/>
      </w:pPr>
      <w:r>
        <w:rPr/>
        <w:t xml:space="preserve">一、aoc研发领先企业</w:t>
      </w:r>
    </w:p>
    <w:p>
      <w:pPr>
        <w:spacing w:before="75" w:after="0"/>
      </w:pPr>
      <w:r>
        <w:rPr/>
        <w:t xml:space="preserve">二、核酸药物企业aoc拓展</w:t>
      </w:r>
    </w:p>
    <w:p>
      <w:pPr>
        <w:spacing w:before="75" w:after="0"/>
      </w:pPr>
      <w:r>
        <w:rPr/>
        <w:t xml:space="preserve">三、抗体企业aoc布局</w:t>
      </w:r>
    </w:p>
    <w:p>
      <w:pPr>
        <w:spacing w:before="75" w:after="0"/>
      </w:pPr>
      <w:r>
        <w:rPr/>
        <w:t xml:space="preserve">第三节 国际合作与竞争</w:t>
      </w:r>
    </w:p>
    <w:p>
      <w:pPr>
        <w:spacing w:before="75" w:after="0"/>
      </w:pPr>
      <w:r>
        <w:rPr/>
        <w:t xml:space="preserve">一、avidity、denali等领先企业动态</w:t>
      </w:r>
    </w:p>
    <w:p>
      <w:pPr>
        <w:spacing w:before="75" w:after="0"/>
      </w:pPr>
      <w:r>
        <w:rPr/>
        <w:t xml:space="preserve">二、国产aoc出海与授权</w:t>
      </w:r>
    </w:p>
    <w:p>
      <w:pPr>
        <w:spacing w:before="75" w:after="0"/>
      </w:pPr>
      <w:r>
        <w:rPr/>
        <w:t xml:space="preserve">三、技术引进与联合开发</w:t>
      </w:r>
    </w:p>
    <w:p>
      <w:pPr>
        <w:spacing w:before="75" w:after="0"/>
      </w:pPr>
      <w:r>
        <w:rPr>
          <w:b w:val="1"/>
          <w:bCs w:val="1"/>
        </w:rPr>
        <w:t xml:space="preserve">第十三章 aoc成本与价格分析</w:t>
      </w:r>
    </w:p>
    <w:p>
      <w:pPr>
        <w:spacing w:before="75" w:after="0"/>
      </w:pPr>
      <w:r>
        <w:rPr/>
        <w:t xml:space="preserve">第一节 成本结构分析</w:t>
      </w:r>
    </w:p>
    <w:p>
      <w:pPr>
        <w:spacing w:before="75" w:after="0"/>
      </w:pPr>
      <w:r>
        <w:rPr/>
        <w:t xml:space="preserve">一、抗体与寡核苷酸生产成本</w:t>
      </w:r>
    </w:p>
    <w:p>
      <w:pPr>
        <w:spacing w:before="75" w:after="0"/>
      </w:pPr>
      <w:r>
        <w:rPr/>
        <w:t xml:space="preserve">二、偶联工艺与纯化成本</w:t>
      </w:r>
    </w:p>
    <w:p>
      <w:pPr>
        <w:spacing w:before="75" w:after="0"/>
      </w:pPr>
      <w:r>
        <w:rPr/>
        <w:t xml:space="preserve">三、cmc与临床开发成本</w:t>
      </w:r>
    </w:p>
    <w:p>
      <w:pPr>
        <w:spacing w:before="75" w:after="0"/>
      </w:pPr>
      <w:r>
        <w:rPr/>
        <w:t xml:space="preserve">第二节 价格形成机制</w:t>
      </w:r>
    </w:p>
    <w:p>
      <w:pPr>
        <w:spacing w:before="75" w:after="0"/>
      </w:pPr>
      <w:r>
        <w:rPr/>
        <w:t xml:space="preserve">一、罕见病药物高定价逻辑</w:t>
      </w:r>
    </w:p>
    <w:p>
      <w:pPr>
        <w:spacing w:before="75" w:after="0"/>
      </w:pPr>
      <w:r>
        <w:rPr/>
        <w:t xml:space="preserve">二、与基因治疗、aso/sirna竞争</w:t>
      </w:r>
    </w:p>
    <w:p>
      <w:pPr>
        <w:spacing w:before="75" w:after="0"/>
      </w:pPr>
      <w:r>
        <w:rPr/>
        <w:t xml:space="preserve">三、医保准入与支付创新</w:t>
      </w:r>
    </w:p>
    <w:p>
      <w:pPr>
        <w:spacing w:before="75" w:after="0"/>
      </w:pPr>
      <w:r>
        <w:rPr/>
        <w:t xml:space="preserve">第三节 成本优化路径</w:t>
      </w:r>
    </w:p>
    <w:p>
      <w:pPr>
        <w:spacing w:before="75" w:after="0"/>
      </w:pPr>
      <w:r>
        <w:rPr/>
        <w:t xml:space="preserve">一、偶联效率与收率提升</w:t>
      </w:r>
    </w:p>
    <w:p>
      <w:pPr>
        <w:spacing w:before="75" w:after="0"/>
      </w:pPr>
      <w:r>
        <w:rPr/>
        <w:t xml:space="preserve">二、规模化生产与连续工艺</w:t>
      </w:r>
    </w:p>
    <w:p>
      <w:pPr>
        <w:spacing w:before="75" w:after="0"/>
      </w:pPr>
      <w:r>
        <w:rPr/>
        <w:t xml:space="preserve">三、平台化与模块化开发</w:t>
      </w:r>
    </w:p>
    <w:p>
      <w:pPr>
        <w:spacing w:before="75" w:after="0"/>
      </w:pPr>
      <w:r>
        <w:rPr>
          <w:b w:val="1"/>
          <w:bCs w:val="1"/>
        </w:rPr>
        <w:t xml:space="preserve">第十四章 aoc行业风险与投资机会</w:t>
      </w:r>
    </w:p>
    <w:p>
      <w:pPr>
        <w:spacing w:before="75" w:after="0"/>
      </w:pPr>
      <w:r>
        <w:rPr/>
        <w:t xml:space="preserve">第一节 行业风险分析</w:t>
      </w:r>
    </w:p>
    <w:p>
      <w:pPr>
        <w:spacing w:before="75" w:after="0"/>
      </w:pPr>
      <w:r>
        <w:rPr/>
        <w:t xml:space="preserve">一、血脑屏障穿透效率不确定性</w:t>
      </w:r>
    </w:p>
    <w:p>
      <w:pPr>
        <w:spacing w:before="75" w:after="0"/>
      </w:pPr>
      <w:r>
        <w:rPr/>
        <w:t xml:space="preserve">二、临床失败与安全性风险</w:t>
      </w:r>
    </w:p>
    <w:p>
      <w:pPr>
        <w:spacing w:before="75" w:after="0"/>
      </w:pPr>
      <w:r>
        <w:rPr/>
        <w:t xml:space="preserve">三、技术替代与竞争</w:t>
      </w:r>
    </w:p>
    <w:p>
      <w:pPr>
        <w:spacing w:before="75" w:after="0"/>
      </w:pPr>
      <w:r>
        <w:rPr/>
        <w:t xml:space="preserve">第二节 投资机会分析</w:t>
      </w:r>
    </w:p>
    <w:p>
      <w:pPr>
        <w:spacing w:before="75" w:after="0"/>
      </w:pPr>
      <w:r>
        <w:rPr/>
        <w:t xml:space="preserve">一、cns靶向aoc平台</w:t>
      </w:r>
    </w:p>
    <w:p>
      <w:pPr>
        <w:spacing w:before="75" w:after="0"/>
      </w:pPr>
      <w:r>
        <w:rPr/>
        <w:t xml:space="preserve">二、肝外递送技术突破</w:t>
      </w:r>
    </w:p>
    <w:p>
      <w:pPr>
        <w:spacing w:before="75" w:after="0"/>
      </w:pPr>
      <w:r>
        <w:rPr/>
        <w:t xml:space="preserve">三、罕见病与肿瘤双布局</w:t>
      </w:r>
    </w:p>
    <w:p>
      <w:pPr>
        <w:spacing w:before="75" w:after="0"/>
      </w:pPr>
      <w:r>
        <w:rPr/>
        <w:t xml:space="preserve">第三节 投资价值评估</w:t>
      </w:r>
    </w:p>
    <w:p>
      <w:pPr>
        <w:spacing w:before="75" w:after="0"/>
      </w:pPr>
      <w:r>
        <w:rPr/>
        <w:t xml:space="preserve">一、技术平台估值</w:t>
      </w:r>
    </w:p>
    <w:p>
      <w:pPr>
        <w:spacing w:before="75" w:after="0"/>
      </w:pPr>
      <w:r>
        <w:rPr/>
        <w:t xml:space="preserve">二、管线风险调整估值</w:t>
      </w:r>
    </w:p>
    <w:p>
      <w:pPr>
        <w:spacing w:before="75" w:after="0"/>
      </w:pPr>
      <w:r>
        <w:rPr/>
        <w:t xml:space="preserve">三、并购与bd机会</w:t>
      </w:r>
    </w:p>
    <w:p>
      <w:pPr>
        <w:spacing w:before="75" w:after="0"/>
      </w:pPr>
      <w:r>
        <w:rPr>
          <w:b w:val="1"/>
          <w:bCs w:val="1"/>
        </w:rPr>
        <w:t xml:space="preserve">第十五章 2026-2031年aoc行业发展趋势与建议</w:t>
      </w:r>
    </w:p>
    <w:p>
      <w:pPr>
        <w:spacing w:before="75" w:after="0"/>
      </w:pPr>
      <w:r>
        <w:rPr/>
        <w:t xml:space="preserve">第一节 技术发展趋势</w:t>
      </w:r>
    </w:p>
    <w:p>
      <w:pPr>
        <w:spacing w:before="75" w:after="0"/>
      </w:pPr>
      <w:r>
        <w:rPr/>
        <w:t xml:space="preserve">一、双载荷与多价aoc</w:t>
      </w:r>
    </w:p>
    <w:p>
      <w:pPr>
        <w:spacing w:before="75" w:after="0"/>
      </w:pPr>
      <w:r>
        <w:rPr/>
        <w:t xml:space="preserve">二、内体逃逸优化</w:t>
      </w:r>
    </w:p>
    <w:p>
      <w:pPr>
        <w:spacing w:before="75" w:after="0"/>
      </w:pPr>
      <w:r>
        <w:rPr/>
        <w:t xml:space="preserve">三、口服与透皮aoc探索</w:t>
      </w:r>
    </w:p>
    <w:p>
      <w:pPr>
        <w:spacing w:before="75" w:after="0"/>
      </w:pPr>
      <w:r>
        <w:rPr/>
        <w:t xml:space="preserve">第二节 市场发展趋势</w:t>
      </w:r>
    </w:p>
    <w:p>
      <w:pPr>
        <w:spacing w:before="75" w:after="0"/>
      </w:pPr>
      <w:r>
        <w:rPr/>
        <w:t xml:space="preserve">一、从罕见病到常见病拓展</w:t>
      </w:r>
    </w:p>
    <w:p>
      <w:pPr>
        <w:spacing w:before="75" w:after="0"/>
      </w:pPr>
      <w:r>
        <w:rPr/>
        <w:t xml:space="preserve">二、从cns到全身靶向</w:t>
      </w:r>
    </w:p>
    <w:p>
      <w:pPr>
        <w:spacing w:before="75" w:after="0"/>
      </w:pPr>
      <w:r>
        <w:rPr/>
        <w:t xml:space="preserve">三、从治疗到预防与诊断</w:t>
      </w:r>
    </w:p>
    <w:p>
      <w:pPr>
        <w:spacing w:before="75" w:after="0"/>
      </w:pPr>
      <w:r>
        <w:rPr/>
        <w:t xml:space="preserve">第三节 战略建议</w:t>
      </w:r>
    </w:p>
    <w:p>
      <w:pPr>
        <w:spacing w:before="75" w:after="0"/>
      </w:pPr>
      <w:r>
        <w:rPr/>
        <w:t xml:space="preserve">一、对aoc研发企业的建议</w:t>
      </w:r>
    </w:p>
    <w:p>
      <w:pPr>
        <w:spacing w:before="75" w:after="0"/>
      </w:pPr>
      <w:r>
        <w:rPr/>
        <w:t xml:space="preserve">二、对医疗机构的建议</w:t>
      </w:r>
    </w:p>
    <w:p>
      <w:pPr>
        <w:spacing w:before="75" w:after="0"/>
      </w:pPr>
      <w:r>
        <w:rPr/>
        <w:t xml:space="preserve">三、对投资者的建议</w:t>
      </w:r>
    </w:p>
    <w:p>
      <w:pPr>
        <w:spacing w:before="75" w:after="0"/>
      </w:pPr>
      <w:r>
        <w:rPr>
          <w:b w:val="1"/>
          <w:bCs w:val="1"/>
        </w:rPr>
        <w:t xml:space="preserve">图表目录</w:t>
      </w:r>
    </w:p>
    <w:p>
      <w:pPr>
        <w:spacing w:before="75" w:after="0"/>
      </w:pPr>
      <w:r>
        <w:rPr/>
        <w:t xml:space="preserve">图表：aoc三要素结构与作用机制</w:t>
      </w:r>
    </w:p>
    <w:p>
      <w:pPr>
        <w:spacing w:before="75" w:after="0"/>
      </w:pPr>
      <w:r>
        <w:rPr/>
        <w:t xml:space="preserve">图表：aoc产业链结构</w:t>
      </w:r>
    </w:p>
    <w:p>
      <w:pPr>
        <w:spacing w:before="75" w:after="0"/>
      </w:pPr>
      <w:r>
        <w:rPr/>
        <w:t xml:space="preserve">图表：2023-2025年全球aoc研发管线与融资</w:t>
      </w:r>
    </w:p>
    <w:p>
      <w:pPr>
        <w:spacing w:before="75" w:after="0"/>
      </w:pPr>
      <w:r>
        <w:rPr/>
        <w:t xml:space="preserve">图表：全球aoc临床阶段分布</w:t>
      </w:r>
    </w:p>
    <w:p>
      <w:pPr>
        <w:spacing w:before="75" w:after="0"/>
      </w:pPr>
      <w:r>
        <w:rPr/>
        <w:t xml:space="preserve">图表：2026-2031年全球aoc市场规模预测</w:t>
      </w:r>
    </w:p>
    <w:p>
      <w:pPr>
        <w:spacing w:before="75" w:after="0"/>
      </w:pPr>
      <w:r>
        <w:rPr/>
        <w:t xml:space="preserve">图表：主要aoc企业技术平台对比</w:t>
      </w:r>
    </w:p>
    <w:p>
      <w:pPr>
        <w:spacing w:before="75" w:after="0"/>
      </w:pPr>
      <w:r>
        <w:rPr/>
        <w:t xml:space="preserve">图表：中国神经肌肉疾病患者人数</w:t>
      </w:r>
    </w:p>
    <w:p>
      <w:pPr>
        <w:spacing w:before="75" w:after="0"/>
      </w:pPr>
      <w:r>
        <w:rPr/>
        <w:t xml:space="preserve">图表：aoc与sirna、aso、基因治疗竞争格局</w:t>
      </w:r>
    </w:p>
    <w:p>
      <w:pPr>
        <w:spacing w:before="75" w:after="0"/>
      </w:pPr>
      <w:r>
        <w:rPr/>
        <w:t xml:space="preserve">图表：2025年中国aoc潜在需求结构</w:t>
      </w:r>
    </w:p>
    <w:p>
      <w:pPr>
        <w:spacing w:before="75" w:after="0"/>
      </w:pPr>
      <w:r>
        <w:rPr/>
        <w:t xml:space="preserve">图表：中国aoc研发企业布局</w:t>
      </w:r>
    </w:p>
    <w:p>
      <w:pPr>
        <w:spacing w:before="75" w:after="0"/>
      </w:pPr>
      <w:r>
        <w:rPr/>
        <w:t xml:space="preserve">图表：aoc技术瓶颈与解决方案</w:t>
      </w:r>
    </w:p>
    <w:p>
      <w:pPr>
        <w:spacing w:before="75" w:after="0"/>
      </w:pPr>
      <w:r>
        <w:rPr/>
        <w:t xml:space="preserve">图表：aoc研发投入与里程碑付款</w:t>
      </w:r>
    </w:p>
    <w:p>
      <w:pPr>
        <w:spacing w:before="75" w:after="0"/>
      </w:pPr>
      <w:r>
        <w:rPr/>
        <w:t xml:space="preserve">图表：2026-2031年中国aoc市场规模预测</w:t>
      </w:r>
    </w:p>
    <w:p>
      <w:pPr>
        <w:spacing w:before="75" w:after="0"/>
      </w:pPr>
      <w:r>
        <w:rPr/>
        <w:t xml:space="preserve">图表：首个aoc产品上市时间与放量预测</w:t>
      </w:r>
    </w:p>
    <w:p>
      <w:pPr>
        <w:spacing w:before="75" w:after="0"/>
      </w:pPr>
      <w:r>
        <w:rPr/>
        <w:t xml:space="preserve">图表：tfr1介导cns递送机制与效率</w:t>
      </w:r>
    </w:p>
    <w:p>
      <w:pPr>
        <w:spacing w:before="75" w:after="0"/>
      </w:pPr>
      <w:r>
        <w:rPr/>
        <w:t xml:space="preserve">图表：aoc与aso/sirna cns分布对比</w:t>
      </w:r>
    </w:p>
    <w:p>
      <w:pPr>
        <w:spacing w:before="75" w:after="0"/>
      </w:pPr>
      <w:r>
        <w:rPr/>
        <w:t xml:space="preserve">图表：位点特异性偶联技术参数</w:t>
      </w:r>
    </w:p>
    <w:p>
      <w:pPr>
        <w:spacing w:before="75" w:after="0"/>
      </w:pPr>
      <w:r>
        <w:rPr/>
        <w:t xml:space="preserve">图表：dmd外显子跳跃与aoc策略</w:t>
      </w:r>
    </w:p>
    <w:p>
      <w:pPr>
        <w:spacing w:before="75" w:after="0"/>
      </w:pPr>
      <w:r>
        <w:rPr/>
        <w:t xml:space="preserve">图表：神经肌肉疾病aoc临床进展</w:t>
      </w:r>
    </w:p>
    <w:p>
      <w:pPr>
        <w:spacing w:before="75" w:after="0"/>
      </w:pPr>
      <w:r>
        <w:rPr/>
        <w:t xml:space="preserve">图表：sma治疗药物竞争格局</w:t>
      </w:r>
    </w:p>
    <w:p>
      <w:pPr>
        <w:spacing w:before="75" w:after="0"/>
      </w:pPr>
      <w:r>
        <w:rPr/>
        <w:t xml:space="preserve">图表：阿尔茨海默病aoc靶点选择</w:t>
      </w:r>
    </w:p>
    <w:p>
      <w:pPr>
        <w:spacing w:before="75" w:after="0"/>
      </w:pPr>
      <w:r>
        <w:rPr/>
        <w:t xml:space="preserve">图表：亨廷顿病htt基因沉默策略</w:t>
      </w:r>
    </w:p>
    <w:p>
      <w:pPr>
        <w:spacing w:before="75" w:after="0"/>
      </w:pPr>
      <w:r>
        <w:rPr/>
        <w:t xml:space="preserve">图表：cns疾病aoc临床挑战</w:t>
      </w:r>
    </w:p>
    <w:p>
      <w:pPr>
        <w:spacing w:before="75" w:after="0"/>
      </w:pPr>
      <w:r>
        <w:rPr/>
        <w:t xml:space="preserve">图表：肿瘤免疫aoc设计</w:t>
      </w:r>
    </w:p>
    <w:p>
      <w:pPr>
        <w:spacing w:before="75" w:after="0"/>
      </w:pPr>
      <w:r>
        <w:rPr/>
        <w:t xml:space="preserve">图表：眼科aoc与抗vegf药物对比</w:t>
      </w:r>
    </w:p>
    <w:p>
      <w:pPr>
        <w:spacing w:before="75" w:after="0"/>
      </w:pPr>
      <w:r>
        <w:rPr/>
        <w:t xml:space="preserve">图表：aoc偶联工艺路线对比</w:t>
      </w:r>
    </w:p>
    <w:p>
      <w:pPr>
        <w:spacing w:before="75" w:after="0"/>
      </w:pPr>
      <w:r>
        <w:rPr/>
        <w:t xml:space="preserve">图表：aoc cmc关键质量属性</w:t>
      </w:r>
    </w:p>
    <w:p>
      <w:pPr>
        <w:spacing w:before="75" w:after="0"/>
      </w:pPr>
      <w:r>
        <w:rPr/>
        <w:t xml:space="preserve">图表：aoc 1001临床数据与安全性</w:t>
      </w:r>
    </w:p>
    <w:p>
      <w:pPr>
        <w:spacing w:before="75" w:after="0"/>
      </w:pPr>
      <w:r>
        <w:rPr/>
        <w:t xml:space="preserve">图表：全球aoc临床管线汇总</w:t>
      </w:r>
    </w:p>
    <w:p>
      <w:pPr>
        <w:spacing w:before="75" w:after="0"/>
      </w:pPr>
      <w:r>
        <w:rPr/>
        <w:t xml:space="preserve">图表：2025年全球aoc竞争格局</w:t>
      </w:r>
    </w:p>
    <w:p>
      <w:pPr>
        <w:spacing w:before="75" w:after="0"/>
      </w:pPr>
      <w:r>
        <w:rPr/>
        <w:t xml:space="preserve">图表：aoc行业竞争格局矩阵</w:t>
      </w:r>
    </w:p>
    <w:p>
      <w:pPr>
        <w:spacing w:before="75" w:after="0"/>
      </w:pPr>
      <w:r>
        <w:rPr/>
        <w:t xml:space="preserve">图表：aoc成本结构与优化路径</w:t>
      </w:r>
    </w:p>
    <w:p>
      <w:pPr>
        <w:spacing w:before="75" w:after="0"/>
      </w:pPr>
      <w:r>
        <w:rPr/>
        <w:t xml:space="preserve">图表：罕见病aoc定价与支付分析</w:t>
      </w:r>
    </w:p>
    <w:p>
      <w:pPr>
        <w:spacing w:before="75" w:after="0"/>
      </w:pPr>
      <w:r>
        <w:rPr/>
        <w:t xml:space="preserve">图表：aoc行业风险因素评估矩阵</w:t>
      </w:r>
    </w:p>
    <w:p>
      <w:pPr>
        <w:spacing w:before="75" w:after="0"/>
      </w:pPr>
      <w:r>
        <w:rPr/>
        <w:t xml:space="preserve">图表：aoc细分领域投资价值评估</w:t>
      </w:r>
    </w:p>
    <w:p>
      <w:pPr>
        <w:spacing w:before="75" w:after="0"/>
      </w:pPr>
      <w:r>
        <w:rPr/>
        <w:t xml:space="preserve">图表：aoc技术演进与产业发展路线图</w:t>
      </w:r>
    </w:p>
    <w:p>
      <w:pPr>
        <w:spacing w:before="75" w:after="0"/>
      </w:pPr>
      <w:r>
        <w:rPr/>
        <w:t xml:space="preserve">图表：2026-2031年中国aoc行业核心指标预测汇总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2026-2031年中国抗体寡核苷酸偶联物（AOC）行业市场发展现状及投资前景预测报告</dc:title>
  <dc:description>2026-2031年中国抗体寡核苷酸偶联物（AOC）行业市场发展现状及投资前景预测报告</dc:description>
  <dc:subject>2026-2031年中国抗体寡核苷酸偶联物（AOC）行业市场发展现状及投资前景预测报告</dc:subject>
  <cp:keywords>研究报告</cp:keywords>
  <cp:category>研究报告</cp:category>
  <cp:lastModifiedBy>北京中道泰和信息咨询有限公司</cp:lastModifiedBy>
  <dcterms:created xsi:type="dcterms:W3CDTF">2026-03-31T11:07:25+08:00</dcterms:created>
  <dcterms:modified xsi:type="dcterms:W3CDTF">2026-03-31T11:07:25+08:00</dcterms:modified>
</cp:coreProperties>
</file>

<file path=docProps/custom.xml><?xml version="1.0" encoding="utf-8"?>
<Properties xmlns="http://schemas.openxmlformats.org/officeDocument/2006/custom-properties" xmlns:vt="http://schemas.openxmlformats.org/officeDocument/2006/docPropsVTypes"/>
</file>