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2026-2031年中国细胞免疫治疗行业全景调研及投资趋势预测报告</w:t>
      </w:r>
    </w:p>
    <w:p>
      <w:pPr>
        <w:spacing w:after="150"/>
      </w:pPr>
      <w:r>
        <w:rPr>
          <w:b w:val="1"/>
          <w:bCs w:val="1"/>
        </w:rPr>
        <w:t xml:space="preserve">报告简介</w:t>
      </w:r>
    </w:p>
    <w:p>
      <w:pPr>
        <w:spacing w:after="150"/>
      </w:pPr>
      <w:r>
        <w:rPr/>
        <w:t xml:space="preserve">细胞免疫治疗是一种通过采集、改造或激活人体自身免疫细胞，再回输至体内以识别、靶向并清除病变细胞(如肿瘤细胞或病毒感染细胞)的生物治疗技术。其核心原理在于利用免疫系统天然的特异性与记忆性，通过体外扩增、基因工程修饰或功能增强等手段，提升免疫细胞对病灶的识别能力、杀伤效力及持久性。主要技术路径包括嵌合抗原受体T细胞(CAR-T)、T细胞受体工程化T细胞(TCR-T)、肿瘤浸润淋巴细胞(TIL)、自然杀伤细胞(NK)及树突状细胞(DC)等，其中自体来源占主流，异体通用型产品正加速发展。</w:t>
      </w:r>
    </w:p>
    <w:p>
      <w:pPr>
        <w:spacing w:after="150"/>
      </w:pPr>
      <w:r>
        <w:rPr/>
        <w:t xml:space="preserve">治疗过程通常涉及单采血、细胞分离、体外激活/基因修饰、大规模扩增、严格质控、低温保存及回输等多个精密环节，全程需在符合GMP标准的洁净环境中完成。细胞免疫治疗具有高度个体化、靶向性强、潜在治愈性等优势，尤其在复发难治性血液系统恶性肿瘤中展现出显著临床价值;但在实体瘤治疗中仍面临肿瘤微环境抑制、靶点异质性及细胞浸润障碍等挑战。此外，该疗法可能引发细胞因子释放综合征、神经毒性等不良反应，需配套严密的监测与干预体系。</w:t>
      </w:r>
    </w:p>
    <w:p>
      <w:pPr>
        <w:spacing w:after="150"/>
      </w:pPr>
      <w:r>
        <w:rPr/>
        <w:t xml:space="preserve">作为前沿生物医药技术的重要代表，细胞免疫治疗融合了分子生物学、基因工程、免疫学与临床医学，其发展依赖于病毒载体、培养基、自动化设备等上游供应链支撑，并正朝着通用化、自动化、智能化及联合治疗方向演进，被视为继手术、放化疗和靶向治疗之后的“第四代抗癌疗法”，在肿瘤、自身免疫病及慢性感染等领域具有广阔应用前景。</w:t>
      </w:r>
    </w:p>
    <w:p>
      <w:pPr>
        <w:spacing w:after="150"/>
      </w:pPr>
      <w:r>
        <w:rPr/>
        <w:t xml:space="preserve">细胞免疫治疗行业研究报告主要分析了细胞免疫治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细胞免疫治疗行业重点企业分析、子行业分析、区域市场分析、行业风险分析、行业发展前景预测及相关的经营、投资建议等。报告研究框架全面、严谨，分析内容客观、公正、系统，真实准确地反映了我国细胞免疫治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细胞免疫治疗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细胞免疫治疗行业概述</w:t>
      </w:r>
    </w:p>
    <w:p>
      <w:pPr>
        <w:spacing w:before="75" w:after="0"/>
      </w:pPr>
      <w:r>
        <w:rPr/>
        <w:t xml:space="preserve">第一节 细胞免疫治疗的基本定义与技术范畴</w:t>
      </w:r>
    </w:p>
    <w:p>
      <w:pPr>
        <w:spacing w:before="75" w:after="0"/>
      </w:pPr>
      <w:r>
        <w:rPr/>
        <w:t xml:space="preserve">一、细胞免疫治疗的核心原理与作用机制</w:t>
      </w:r>
    </w:p>
    <w:p>
      <w:pPr>
        <w:spacing w:before="75" w:after="0"/>
      </w:pPr>
      <w:r>
        <w:rPr/>
        <w:t xml:space="preserve">二、与传统化疗、靶向治疗的本质区别</w:t>
      </w:r>
    </w:p>
    <w:p>
      <w:pPr>
        <w:spacing w:before="75" w:after="0"/>
      </w:pPr>
      <w:r>
        <w:rPr/>
        <w:t xml:space="preserve">三、在肿瘤与自身免疫疾病治疗中的定位</w:t>
      </w:r>
    </w:p>
    <w:p>
      <w:pPr>
        <w:spacing w:before="75" w:after="0"/>
      </w:pPr>
      <w:r>
        <w:rPr/>
        <w:t xml:space="preserve">第二节 细胞免疫治疗产业链结构解析</w:t>
      </w:r>
    </w:p>
    <w:p>
      <w:pPr>
        <w:spacing w:before="75" w:after="0"/>
      </w:pPr>
      <w:r>
        <w:rPr/>
        <w:t xml:space="preserve">一、上游细胞来源、培养基与试剂耗材</w:t>
      </w:r>
    </w:p>
    <w:p>
      <w:pPr>
        <w:spacing w:before="75" w:after="0"/>
      </w:pPr>
      <w:r>
        <w:rPr/>
        <w:t xml:space="preserve">二、中游细胞制备、质控与存储服务</w:t>
      </w:r>
    </w:p>
    <w:p>
      <w:pPr>
        <w:spacing w:before="75" w:after="0"/>
      </w:pPr>
      <w:r>
        <w:rPr/>
        <w:t xml:space="preserve">三、下游临床应用、医院合作与患者管理</w:t>
      </w:r>
    </w:p>
    <w:p>
      <w:pPr>
        <w:spacing w:before="75" w:after="0"/>
      </w:pPr>
      <w:r>
        <w:rPr/>
        <w:t xml:space="preserve">第三节 细胞免疫治疗主要技术路径划分</w:t>
      </w:r>
    </w:p>
    <w:p>
      <w:pPr>
        <w:spacing w:before="75" w:after="0"/>
      </w:pPr>
      <w:r>
        <w:rPr/>
        <w:t xml:space="preserve">一、按细胞类型划分</w:t>
      </w:r>
    </w:p>
    <w:p>
      <w:pPr>
        <w:spacing w:before="75" w:after="0"/>
      </w:pPr>
      <w:r>
        <w:rPr/>
        <w:t xml:space="preserve">二、按产品形式划分</w:t>
      </w:r>
    </w:p>
    <w:p>
      <w:pPr>
        <w:spacing w:before="75" w:after="0"/>
      </w:pPr>
      <w:r>
        <w:rPr/>
        <w:t xml:space="preserve">三、按适应症划分</w:t>
      </w:r>
    </w:p>
    <w:p>
      <w:pPr>
        <w:spacing w:before="75" w:after="0"/>
      </w:pPr>
      <w:r>
        <w:rPr>
          <w:b w:val="1"/>
          <w:bCs w:val="1"/>
        </w:rPr>
        <w:t xml:space="preserve">第二章 全球细胞免疫治疗行业发展现状</w:t>
      </w:r>
    </w:p>
    <w:p>
      <w:pPr>
        <w:spacing w:before="75" w:after="0"/>
      </w:pPr>
      <w:r>
        <w:rPr/>
        <w:t xml:space="preserve">第一节 全球市场格局与区域分布</w:t>
      </w:r>
    </w:p>
    <w:p>
      <w:pPr>
        <w:spacing w:before="75" w:after="0"/>
      </w:pPr>
      <w:r>
        <w:rPr/>
        <w:t xml:space="preserve">一、美国引领car-t商业化与管线布局</w:t>
      </w:r>
    </w:p>
    <w:p>
      <w:pPr>
        <w:spacing w:before="75" w:after="0"/>
      </w:pPr>
      <w:r>
        <w:rPr/>
        <w:t xml:space="preserve">二、欧洲聚焦学术转化与监管协同</w:t>
      </w:r>
    </w:p>
    <w:p>
      <w:pPr>
        <w:spacing w:before="75" w:after="0"/>
      </w:pPr>
      <w:r>
        <w:rPr/>
        <w:t xml:space="preserve">三、日本加速异体通用型细胞疗法审批</w:t>
      </w:r>
    </w:p>
    <w:p>
      <w:pPr>
        <w:spacing w:before="75" w:after="0"/>
      </w:pPr>
      <w:r>
        <w:rPr/>
        <w:t xml:space="preserve">第二节 全球技术演进与临床突破</w:t>
      </w:r>
    </w:p>
    <w:p>
      <w:pPr>
        <w:spacing w:before="75" w:after="0"/>
      </w:pPr>
      <w:r>
        <w:rPr/>
        <w:t xml:space="preserve">一、第二代car结构优化提升疗效</w:t>
      </w:r>
    </w:p>
    <w:p>
      <w:pPr>
        <w:spacing w:before="75" w:after="0"/>
      </w:pPr>
      <w:r>
        <w:rPr/>
        <w:t xml:space="preserve">二、实体瘤靶点筛选取得阶段性进展</w:t>
      </w:r>
    </w:p>
    <w:p>
      <w:pPr>
        <w:spacing w:before="75" w:after="0"/>
      </w:pPr>
      <w:r>
        <w:rPr/>
        <w:t xml:space="preserve">三、通用型(allogeneic)平台技术成熟</w:t>
      </w:r>
    </w:p>
    <w:p>
      <w:pPr>
        <w:spacing w:before="75" w:after="0"/>
      </w:pPr>
      <w:r>
        <w:rPr/>
        <w:t xml:space="preserve">第三节 全球商业模式与支付体系</w:t>
      </w:r>
    </w:p>
    <w:p>
      <w:pPr>
        <w:spacing w:before="75" w:after="0"/>
      </w:pPr>
      <w:r>
        <w:rPr/>
        <w:t xml:space="preserve">一、高定价策略与分期付款模式普及</w:t>
      </w:r>
    </w:p>
    <w:p>
      <w:pPr>
        <w:spacing w:before="75" w:after="0"/>
      </w:pPr>
      <w:r>
        <w:rPr/>
        <w:t xml:space="preserve">二、疗效挂钩支付机制试点扩大</w:t>
      </w:r>
    </w:p>
    <w:p>
      <w:pPr>
        <w:spacing w:before="75" w:after="0"/>
      </w:pPr>
      <w:r>
        <w:rPr/>
        <w:t xml:space="preserve">三、生物制药巨头并购活跃度提升</w:t>
      </w:r>
    </w:p>
    <w:p>
      <w:pPr>
        <w:spacing w:before="75" w:after="0"/>
      </w:pPr>
      <w:r>
        <w:rPr>
          <w:b w:val="1"/>
          <w:bCs w:val="1"/>
        </w:rPr>
        <w:t xml:space="preserve">第三章 中国细胞免疫治疗行业发展回顾</w:t>
      </w:r>
    </w:p>
    <w:p>
      <w:pPr>
        <w:spacing w:before="75" w:after="0"/>
      </w:pPr>
      <w:r>
        <w:rPr/>
        <w:t xml:space="preserve">第一节 行业运行总体特征</w:t>
      </w:r>
    </w:p>
    <w:p>
      <w:pPr>
        <w:spacing w:before="75" w:after="0"/>
      </w:pPr>
      <w:r>
        <w:rPr/>
        <w:t xml:space="preserve">一、首款国产car-t产品上市后快速放量</w:t>
      </w:r>
    </w:p>
    <w:p>
      <w:pPr>
        <w:spacing w:before="75" w:after="0"/>
      </w:pPr>
      <w:r>
        <w:rPr/>
        <w:t xml:space="preserve">二、临床试验数量跃居全球第二</w:t>
      </w:r>
    </w:p>
    <w:p>
      <w:pPr>
        <w:spacing w:before="75" w:after="0"/>
      </w:pPr>
      <w:r>
        <w:rPr/>
        <w:t xml:space="preserve">三、区域细胞治疗中心建设加速</w:t>
      </w:r>
    </w:p>
    <w:p>
      <w:pPr>
        <w:spacing w:before="75" w:after="0"/>
      </w:pPr>
      <w:r>
        <w:rPr/>
        <w:t xml:space="preserve">第二节 市场主体格局变化</w:t>
      </w:r>
    </w:p>
    <w:p>
      <w:pPr>
        <w:spacing w:before="75" w:after="0"/>
      </w:pPr>
      <w:r>
        <w:rPr/>
        <w:t xml:space="preserve">一、本土biotech主导早期研发</w:t>
      </w:r>
    </w:p>
    <w:p>
      <w:pPr>
        <w:spacing w:before="75" w:after="0"/>
      </w:pPr>
      <w:r>
        <w:rPr/>
        <w:t xml:space="preserve">二、大型药企通过合作切入赛道</w:t>
      </w:r>
    </w:p>
    <w:p>
      <w:pPr>
        <w:spacing w:before="75" w:after="0"/>
      </w:pPr>
      <w:r>
        <w:rPr/>
        <w:t xml:space="preserve">三、cdmo与cro平台服务能力提升</w:t>
      </w:r>
    </w:p>
    <w:p>
      <w:pPr>
        <w:spacing w:before="75" w:after="0"/>
      </w:pPr>
      <w:r>
        <w:rPr/>
        <w:t xml:space="preserve">第三节 技术与产业化能力进展</w:t>
      </w:r>
    </w:p>
    <w:p>
      <w:pPr>
        <w:spacing w:before="75" w:after="0"/>
      </w:pPr>
      <w:r>
        <w:rPr/>
        <w:t xml:space="preserve">一、自体car-t工艺标准化初步实现</w:t>
      </w:r>
    </w:p>
    <w:p>
      <w:pPr>
        <w:spacing w:before="75" w:after="0"/>
      </w:pPr>
      <w:r>
        <w:rPr/>
        <w:t xml:space="preserve">二、慢病毒载体国产化取得突破</w:t>
      </w:r>
    </w:p>
    <w:p>
      <w:pPr>
        <w:spacing w:before="75" w:after="0"/>
      </w:pPr>
      <w:r>
        <w:rPr/>
        <w:t xml:space="preserve">三、自动化封闭式生产设备引入</w:t>
      </w:r>
    </w:p>
    <w:p>
      <w:pPr>
        <w:spacing w:before="75" w:after="0"/>
      </w:pPr>
      <w:r>
        <w:rPr>
          <w:b w:val="1"/>
          <w:bCs w:val="1"/>
        </w:rPr>
        <w:t xml:space="preserve">第四章 细胞免疫治疗行业制度与监管环境演变</w:t>
      </w:r>
    </w:p>
    <w:p>
      <w:pPr>
        <w:spacing w:before="75" w:after="0"/>
      </w:pPr>
      <w:r>
        <w:rPr/>
        <w:t xml:space="preserve">第一节 药品注册与审评审批路径</w:t>
      </w:r>
    </w:p>
    <w:p>
      <w:pPr>
        <w:spacing w:before="75" w:after="0"/>
      </w:pPr>
      <w:r>
        <w:rPr/>
        <w:t xml:space="preserve">一、细胞治疗产品按药品管理定性</w:t>
      </w:r>
    </w:p>
    <w:p>
      <w:pPr>
        <w:spacing w:before="75" w:after="0"/>
      </w:pPr>
      <w:r>
        <w:rPr/>
        <w:t xml:space="preserve">二、附条件批准与真实世界证据应用</w:t>
      </w:r>
    </w:p>
    <w:p>
      <w:pPr>
        <w:spacing w:before="75" w:after="0"/>
      </w:pPr>
      <w:r>
        <w:rPr/>
        <w:t xml:space="preserve">三、优先审评与突破性疗法认定机制</w:t>
      </w:r>
    </w:p>
    <w:p>
      <w:pPr>
        <w:spacing w:before="75" w:after="0"/>
      </w:pPr>
      <w:r>
        <w:rPr/>
        <w:t xml:space="preserve">第二节 生产质量管理规范要求</w:t>
      </w:r>
    </w:p>
    <w:p>
      <w:pPr>
        <w:spacing w:before="75" w:after="0"/>
      </w:pPr>
      <w:r>
        <w:rPr/>
        <w:t xml:space="preserve">一、gmp对细胞制备全过程覆盖</w:t>
      </w:r>
    </w:p>
    <w:p>
      <w:pPr>
        <w:spacing w:before="75" w:after="0"/>
      </w:pPr>
      <w:r>
        <w:rPr/>
        <w:t xml:space="preserve">二、无菌控制与交叉污染防控标准</w:t>
      </w:r>
    </w:p>
    <w:p>
      <w:pPr>
        <w:spacing w:before="75" w:after="0"/>
      </w:pPr>
      <w:r>
        <w:rPr/>
        <w:t xml:space="preserve">三、留样与追溯体系建设强制实施</w:t>
      </w:r>
    </w:p>
    <w:p>
      <w:pPr>
        <w:spacing w:before="75" w:after="0"/>
      </w:pPr>
      <w:r>
        <w:rPr/>
        <w:t xml:space="preserve">第三节 临床研究与伦理审查规范</w:t>
      </w:r>
    </w:p>
    <w:p>
      <w:pPr>
        <w:spacing w:before="75" w:after="0"/>
      </w:pPr>
      <w:r>
        <w:rPr/>
        <w:t xml:space="preserve">一、机构备案与项目伦理前置审查</w:t>
      </w:r>
    </w:p>
    <w:p>
      <w:pPr>
        <w:spacing w:before="75" w:after="0"/>
      </w:pPr>
      <w:r>
        <w:rPr/>
        <w:t xml:space="preserve">二、受试者权益保护与知情同意强化</w:t>
      </w:r>
    </w:p>
    <w:p>
      <w:pPr>
        <w:spacing w:before="75" w:after="0"/>
      </w:pPr>
      <w:r>
        <w:rPr/>
        <w:t xml:space="preserve">三、多中心临床试验协调机制完善</w:t>
      </w:r>
    </w:p>
    <w:p>
      <w:pPr>
        <w:spacing w:before="75" w:after="0"/>
      </w:pPr>
      <w:r>
        <w:rPr>
          <w:b w:val="1"/>
          <w:bCs w:val="1"/>
        </w:rPr>
        <w:t xml:space="preserve">第五章 细胞免疫治疗行业上游支撑体系分析</w:t>
      </w:r>
    </w:p>
    <w:p>
      <w:pPr>
        <w:spacing w:before="75" w:after="0"/>
      </w:pPr>
      <w:r>
        <w:rPr/>
        <w:t xml:space="preserve">第一节 细胞来源与原材料供应</w:t>
      </w:r>
    </w:p>
    <w:p>
      <w:pPr>
        <w:spacing w:before="75" w:after="0"/>
      </w:pPr>
      <w:r>
        <w:rPr/>
        <w:t xml:space="preserve">一、外周血单采与脐带血资源管理</w:t>
      </w:r>
    </w:p>
    <w:p>
      <w:pPr>
        <w:spacing w:before="75" w:after="0"/>
      </w:pPr>
      <w:r>
        <w:rPr/>
        <w:t xml:space="preserve">二、培养基、细胞因子国产替代进展</w:t>
      </w:r>
    </w:p>
    <w:p>
      <w:pPr>
        <w:spacing w:before="75" w:after="0"/>
      </w:pPr>
      <w:r>
        <w:rPr/>
        <w:t xml:space="preserve">三、磁珠、转导试剂进口依赖现状</w:t>
      </w:r>
    </w:p>
    <w:p>
      <w:pPr>
        <w:spacing w:before="75" w:after="0"/>
      </w:pPr>
      <w:r>
        <w:rPr/>
        <w:t xml:space="preserve">第二节 病毒载体与基因编辑工具</w:t>
      </w:r>
    </w:p>
    <w:p>
      <w:pPr>
        <w:spacing w:before="75" w:after="0"/>
      </w:pPr>
      <w:r>
        <w:rPr/>
        <w:t xml:space="preserve">一、慢病毒/逆转录病毒载体产能瓶颈</w:t>
      </w:r>
    </w:p>
    <w:p>
      <w:pPr>
        <w:spacing w:before="75" w:after="0"/>
      </w:pPr>
      <w:r>
        <w:rPr/>
        <w:t xml:space="preserve">二、aav与非病毒递送系统探索</w:t>
      </w:r>
    </w:p>
    <w:p>
      <w:pPr>
        <w:spacing w:before="75" w:after="0"/>
      </w:pPr>
      <w:r>
        <w:rPr/>
        <w:t xml:space="preserve">三、crispr等基因编辑技术合规使用</w:t>
      </w:r>
    </w:p>
    <w:p>
      <w:pPr>
        <w:spacing w:before="75" w:after="0"/>
      </w:pPr>
      <w:r>
        <w:rPr/>
        <w:t xml:space="preserve">第三节 设备与耗材供应链</w:t>
      </w:r>
    </w:p>
    <w:p>
      <w:pPr>
        <w:spacing w:before="75" w:after="0"/>
      </w:pPr>
      <w:r>
        <w:rPr/>
        <w:t xml:space="preserve">一、生物反应器与灌流系统需求增长</w:t>
      </w:r>
    </w:p>
    <w:p>
      <w:pPr>
        <w:spacing w:before="75" w:after="0"/>
      </w:pPr>
      <w:r>
        <w:rPr/>
        <w:t xml:space="preserve">二、一次性封闭管路与冻存袋供应</w:t>
      </w:r>
    </w:p>
    <w:p>
      <w:pPr>
        <w:spacing w:before="75" w:after="0"/>
      </w:pPr>
      <w:r>
        <w:rPr/>
        <w:t xml:space="preserve">三、自动化分装与质控设备引进</w:t>
      </w:r>
    </w:p>
    <w:p>
      <w:pPr>
        <w:spacing w:before="75" w:after="0"/>
      </w:pPr>
      <w:r>
        <w:rPr>
          <w:b w:val="1"/>
          <w:bCs w:val="1"/>
        </w:rPr>
        <w:t xml:space="preserve">第六章 细胞免疫治疗行业中游生产与质控分析</w:t>
      </w:r>
    </w:p>
    <w:p>
      <w:pPr>
        <w:spacing w:before="75" w:after="0"/>
      </w:pPr>
      <w:r>
        <w:rPr/>
        <w:t xml:space="preserve">第一节 细胞制备工艺流程</w:t>
      </w:r>
    </w:p>
    <w:p>
      <w:pPr>
        <w:spacing w:before="75" w:after="0"/>
      </w:pPr>
      <w:r>
        <w:rPr/>
        <w:t xml:space="preserve">一、t细胞激活与扩增标准化</w:t>
      </w:r>
    </w:p>
    <w:p>
      <w:pPr>
        <w:spacing w:before="75" w:after="0"/>
      </w:pPr>
      <w:r>
        <w:rPr/>
        <w:t xml:space="preserve">二、基因转导效率优化控制</w:t>
      </w:r>
    </w:p>
    <w:p>
      <w:pPr>
        <w:spacing w:before="75" w:after="0"/>
      </w:pPr>
      <w:r>
        <w:rPr/>
        <w:t xml:space="preserve">三、终产品洗涤与制剂成型</w:t>
      </w:r>
    </w:p>
    <w:p>
      <w:pPr>
        <w:spacing w:before="75" w:after="0"/>
      </w:pPr>
      <w:r>
        <w:rPr/>
        <w:t xml:space="preserve">第二节 质量控制与检测体系</w:t>
      </w:r>
    </w:p>
    <w:p>
      <w:pPr>
        <w:spacing w:before="75" w:after="0"/>
      </w:pPr>
      <w:r>
        <w:rPr/>
        <w:t xml:space="preserve">一、无菌、支原体、内毒素检测</w:t>
      </w:r>
    </w:p>
    <w:p>
      <w:pPr>
        <w:spacing w:before="75" w:after="0"/>
      </w:pPr>
      <w:r>
        <w:rPr/>
        <w:t xml:space="preserve">二、表型、纯度、效价功能验证</w:t>
      </w:r>
    </w:p>
    <w:p>
      <w:pPr>
        <w:spacing w:before="75" w:after="0"/>
      </w:pPr>
      <w:r>
        <w:rPr/>
        <w:t xml:space="preserve">三、残留dna与复制型病毒筛查</w:t>
      </w:r>
    </w:p>
    <w:p>
      <w:pPr>
        <w:spacing w:before="75" w:after="0"/>
      </w:pPr>
      <w:r>
        <w:rPr/>
        <w:t xml:space="preserve">第三节 存储与物流冷链管理</w:t>
      </w:r>
    </w:p>
    <w:p>
      <w:pPr>
        <w:spacing w:before="75" w:after="0"/>
      </w:pPr>
      <w:r>
        <w:rPr/>
        <w:t xml:space="preserve">一、液氮气相存储稳定性保障</w:t>
      </w:r>
    </w:p>
    <w:p>
      <w:pPr>
        <w:spacing w:before="75" w:after="0"/>
      </w:pPr>
      <w:r>
        <w:rPr/>
        <w:t xml:space="preserve">二、干冰或超低温运输温控要求</w:t>
      </w:r>
    </w:p>
    <w:p>
      <w:pPr>
        <w:spacing w:before="75" w:after="0"/>
      </w:pPr>
      <w:r>
        <w:rPr/>
        <w:t xml:space="preserve">三、回输前解冻与复融操作规范</w:t>
      </w:r>
    </w:p>
    <w:p>
      <w:pPr>
        <w:spacing w:before="75" w:after="0"/>
      </w:pPr>
      <w:r>
        <w:rPr>
          <w:b w:val="1"/>
          <w:bCs w:val="1"/>
        </w:rPr>
        <w:t xml:space="preserve">第七章 细胞免疫治疗行业下游临床应用分析</w:t>
      </w:r>
    </w:p>
    <w:p>
      <w:pPr>
        <w:spacing w:before="75" w:after="0"/>
      </w:pPr>
      <w:r>
        <w:rPr/>
        <w:t xml:space="preserve">第一节 血液系统肿瘤治疗</w:t>
      </w:r>
    </w:p>
    <w:p>
      <w:pPr>
        <w:spacing w:before="75" w:after="0"/>
      </w:pPr>
      <w:r>
        <w:rPr/>
        <w:t xml:space="preserve">一、b细胞淋巴瘤与白血病为主要适应症</w:t>
      </w:r>
    </w:p>
    <w:p>
      <w:pPr>
        <w:spacing w:before="75" w:after="0"/>
      </w:pPr>
      <w:r>
        <w:rPr/>
        <w:t xml:space="preserve">二、复发难治患者响应率显著提升</w:t>
      </w:r>
    </w:p>
    <w:p>
      <w:pPr>
        <w:spacing w:before="75" w:after="0"/>
      </w:pPr>
      <w:r>
        <w:rPr/>
        <w:t xml:space="preserve">三、联合治疗方案探索延长生存期</w:t>
      </w:r>
    </w:p>
    <w:p>
      <w:pPr>
        <w:spacing w:before="75" w:after="0"/>
      </w:pPr>
      <w:r>
        <w:rPr/>
        <w:t xml:space="preserve">第二节 实体瘤治疗挑战与进展</w:t>
      </w:r>
    </w:p>
    <w:p>
      <w:pPr>
        <w:spacing w:before="75" w:after="0"/>
      </w:pPr>
      <w:r>
        <w:rPr/>
        <w:t xml:space="preserve">一、肿瘤微环境抑制效应克服</w:t>
      </w:r>
    </w:p>
    <w:p>
      <w:pPr>
        <w:spacing w:before="75" w:after="0"/>
      </w:pPr>
      <w:r>
        <w:rPr/>
        <w:t xml:space="preserve">二、新抗原靶点识别技术突破</w:t>
      </w:r>
    </w:p>
    <w:p>
      <w:pPr>
        <w:spacing w:before="75" w:after="0"/>
      </w:pPr>
      <w:r>
        <w:rPr/>
        <w:t xml:space="preserve">三、局部给药与多靶点策略尝试</w:t>
      </w:r>
    </w:p>
    <w:p>
      <w:pPr>
        <w:spacing w:before="75" w:after="0"/>
      </w:pPr>
      <w:r>
        <w:rPr/>
        <w:t xml:space="preserve">第三节 非肿瘤领域拓展潜力</w:t>
      </w:r>
    </w:p>
    <w:p>
      <w:pPr>
        <w:spacing w:before="75" w:after="0"/>
      </w:pPr>
      <w:r>
        <w:rPr/>
        <w:t xml:space="preserve">一、自身免疫性疾病调控机制研究</w:t>
      </w:r>
    </w:p>
    <w:p>
      <w:pPr>
        <w:spacing w:before="75" w:after="0"/>
      </w:pPr>
      <w:r>
        <w:rPr/>
        <w:t xml:space="preserve">二、慢性病毒感染清除新路径</w:t>
      </w:r>
    </w:p>
    <w:p>
      <w:pPr>
        <w:spacing w:before="75" w:after="0"/>
      </w:pPr>
      <w:r>
        <w:rPr/>
        <w:t xml:space="preserve">三、组织修复与再生医学交叉应用</w:t>
      </w:r>
    </w:p>
    <w:p>
      <w:pPr>
        <w:spacing w:before="75" w:after="0"/>
      </w:pPr>
      <w:r>
        <w:rPr>
          <w:b w:val="1"/>
          <w:bCs w:val="1"/>
        </w:rPr>
        <w:t xml:space="preserve">第八章 细胞免疫治疗行业商业模式与盈利结构</w:t>
      </w:r>
    </w:p>
    <w:p>
      <w:pPr>
        <w:spacing w:before="75" w:after="0"/>
      </w:pPr>
      <w:r>
        <w:rPr/>
        <w:t xml:space="preserve">第一节 收入来源构成变化</w:t>
      </w:r>
    </w:p>
    <w:p>
      <w:pPr>
        <w:spacing w:before="75" w:after="0"/>
      </w:pPr>
      <w:r>
        <w:rPr/>
        <w:t xml:space="preserve">一、产品销售收入为主导模式</w:t>
      </w:r>
    </w:p>
    <w:p>
      <w:pPr>
        <w:spacing w:before="75" w:after="0"/>
      </w:pPr>
      <w:r>
        <w:rPr/>
        <w:t xml:space="preserve">二、技术服务与定制开发收入补充</w:t>
      </w:r>
    </w:p>
    <w:p>
      <w:pPr>
        <w:spacing w:before="75" w:after="0"/>
      </w:pPr>
      <w:r>
        <w:rPr/>
        <w:t xml:space="preserve">三、临床伴随诊断合作分成探索</w:t>
      </w:r>
    </w:p>
    <w:p>
      <w:pPr>
        <w:spacing w:before="75" w:after="0"/>
      </w:pPr>
      <w:r>
        <w:rPr/>
        <w:t xml:space="preserve">第二节 成本结构与经济性挑战</w:t>
      </w:r>
    </w:p>
    <w:p>
      <w:pPr>
        <w:spacing w:before="75" w:after="0"/>
      </w:pPr>
      <w:r>
        <w:rPr/>
        <w:t xml:space="preserve">一、个体化生产导致单位成本高企</w:t>
      </w:r>
    </w:p>
    <w:p>
      <w:pPr>
        <w:spacing w:before="75" w:after="0"/>
      </w:pPr>
      <w:r>
        <w:rPr/>
        <w:t xml:space="preserve">二、冷链物流与质控检测占比突出</w:t>
      </w:r>
    </w:p>
    <w:p>
      <w:pPr>
        <w:spacing w:before="75" w:after="0"/>
      </w:pPr>
      <w:r>
        <w:rPr/>
        <w:t xml:space="preserve">三、患者可及性与医保谈判压力</w:t>
      </w:r>
    </w:p>
    <w:p>
      <w:pPr>
        <w:spacing w:before="75" w:after="0"/>
      </w:pPr>
      <w:r>
        <w:rPr/>
        <w:t xml:space="preserve">第三节 盈利可持续性影响因素</w:t>
      </w:r>
    </w:p>
    <w:p>
      <w:pPr>
        <w:spacing w:before="75" w:after="0"/>
      </w:pPr>
      <w:r>
        <w:rPr/>
        <w:t xml:space="preserve">一、适应症扩展决定市场规模</w:t>
      </w:r>
    </w:p>
    <w:p>
      <w:pPr>
        <w:spacing w:before="75" w:after="0"/>
      </w:pPr>
      <w:r>
        <w:rPr/>
        <w:t xml:space="preserve">二、生产工艺降本是关键路径</w:t>
      </w:r>
    </w:p>
    <w:p>
      <w:pPr>
        <w:spacing w:before="75" w:after="0"/>
      </w:pPr>
      <w:r>
        <w:rPr/>
        <w:t xml:space="preserve">三、支付体系创新决定商业化速度</w:t>
      </w:r>
    </w:p>
    <w:p>
      <w:pPr>
        <w:spacing w:before="75" w:after="0"/>
      </w:pPr>
      <w:r>
        <w:rPr>
          <w:b w:val="1"/>
          <w:bCs w:val="1"/>
        </w:rPr>
        <w:t xml:space="preserve">第九章 细胞免疫治疗行业竞争格局分析</w:t>
      </w:r>
    </w:p>
    <w:p>
      <w:pPr>
        <w:spacing w:before="75" w:after="0"/>
      </w:pPr>
      <w:r>
        <w:rPr/>
        <w:t xml:space="preserve">第一节 国际领先企业竞争态势</w:t>
      </w:r>
    </w:p>
    <w:p>
      <w:pPr>
        <w:spacing w:before="75" w:after="0"/>
      </w:pPr>
      <w:r>
        <w:rPr/>
        <w:t xml:space="preserve">一、诺华、吉利德kite占据全球主导</w:t>
      </w:r>
    </w:p>
    <w:p>
      <w:pPr>
        <w:spacing w:before="75" w:after="0"/>
      </w:pPr>
      <w:r>
        <w:rPr/>
        <w:t xml:space="preserve">二、百时美施贵宝juno管线丰富</w:t>
      </w:r>
    </w:p>
    <w:p>
      <w:pPr>
        <w:spacing w:before="75" w:after="0"/>
      </w:pPr>
      <w:r>
        <w:rPr/>
        <w:t xml:space="preserve">三、allogene、caribou推进通用型平台</w:t>
      </w:r>
    </w:p>
    <w:p>
      <w:pPr>
        <w:spacing w:before="75" w:after="0"/>
      </w:pPr>
      <w:r>
        <w:rPr/>
        <w:t xml:space="preserve">第二节 中国本土企业梯队分布</w:t>
      </w:r>
    </w:p>
    <w:p>
      <w:pPr>
        <w:spacing w:before="75" w:after="0"/>
      </w:pPr>
      <w:r>
        <w:rPr/>
        <w:t xml:space="preserve">一、复星凯特、药明巨诺率先商业化</w:t>
      </w:r>
    </w:p>
    <w:p>
      <w:pPr>
        <w:spacing w:before="75" w:after="0"/>
      </w:pPr>
      <w:r>
        <w:rPr/>
        <w:t xml:space="preserve">二、科济药业、传奇生物聚焦实体瘤</w:t>
      </w:r>
    </w:p>
    <w:p>
      <w:pPr>
        <w:spacing w:before="75" w:after="0"/>
      </w:pPr>
      <w:r>
        <w:rPr/>
        <w:t xml:space="preserve">三、北恒生物、驯鹿医疗布局异体路线</w:t>
      </w:r>
    </w:p>
    <w:p>
      <w:pPr>
        <w:spacing w:before="75" w:after="0"/>
      </w:pPr>
      <w:r>
        <w:rPr/>
        <w:t xml:space="preserve">第三节 cdmo与服务平台角色</w:t>
      </w:r>
    </w:p>
    <w:p>
      <w:pPr>
        <w:spacing w:before="75" w:after="0"/>
      </w:pPr>
      <w:r>
        <w:rPr/>
        <w:t xml:space="preserve">一、金斯瑞蓬勃生物提供载体服务</w:t>
      </w:r>
    </w:p>
    <w:p>
      <w:pPr>
        <w:spacing w:before="75" w:after="0"/>
      </w:pPr>
      <w:r>
        <w:rPr/>
        <w:t xml:space="preserve">二、和元生物、博腾股份切入生产</w:t>
      </w:r>
    </w:p>
    <w:p>
      <w:pPr>
        <w:spacing w:before="75" w:after="0"/>
      </w:pPr>
      <w:r>
        <w:rPr/>
        <w:t xml:space="preserve">三、专业冷链物流企业配套支持</w:t>
      </w:r>
    </w:p>
    <w:p>
      <w:pPr>
        <w:spacing w:before="75" w:after="0"/>
      </w:pPr>
      <w:r>
        <w:rPr>
          <w:b w:val="1"/>
          <w:bCs w:val="1"/>
        </w:rPr>
        <w:t xml:space="preserve">第十章 细胞免疫治疗行业swot与pest综合分析</w:t>
      </w:r>
    </w:p>
    <w:p>
      <w:pPr>
        <w:spacing w:before="75" w:after="0"/>
      </w:pPr>
      <w:r>
        <w:rPr/>
        <w:t xml:space="preserve">第一节 swot模型分析</w:t>
      </w:r>
    </w:p>
    <w:p>
      <w:pPr>
        <w:spacing w:before="75" w:after="0"/>
      </w:pPr>
      <w:r>
        <w:rPr/>
        <w:t xml:space="preserve">一、优势：临床需求迫切、资本投入密集</w:t>
      </w:r>
    </w:p>
    <w:p>
      <w:pPr>
        <w:spacing w:before="75" w:after="0"/>
      </w:pPr>
      <w:r>
        <w:rPr/>
        <w:t xml:space="preserve">二、劣势：制造复杂、价格高昂、实体瘤突破难</w:t>
      </w:r>
    </w:p>
    <w:p>
      <w:pPr>
        <w:spacing w:before="75" w:after="0"/>
      </w:pPr>
      <w:r>
        <w:rPr/>
        <w:t xml:space="preserve">三、机会：技术迭代快、支付创新、出海潜力</w:t>
      </w:r>
    </w:p>
    <w:p>
      <w:pPr>
        <w:spacing w:before="75" w:after="0"/>
      </w:pPr>
      <w:r>
        <w:rPr/>
        <w:t xml:space="preserve">四、威胁：国际竞争加剧、监管趋严、安全性风险</w:t>
      </w:r>
    </w:p>
    <w:p>
      <w:pPr>
        <w:spacing w:before="75" w:after="0"/>
      </w:pPr>
      <w:r>
        <w:rPr/>
        <w:t xml:space="preserve">第二节 pest宏观环境分析</w:t>
      </w:r>
    </w:p>
    <w:p>
      <w:pPr>
        <w:spacing w:before="75" w:after="0"/>
      </w:pPr>
      <w:r>
        <w:rPr/>
        <w:t xml:space="preserve">一、政治：健康中国战略支持创新药</w:t>
      </w:r>
    </w:p>
    <w:p>
      <w:pPr>
        <w:spacing w:before="75" w:after="0"/>
      </w:pPr>
      <w:r>
        <w:rPr/>
        <w:t xml:space="preserve">二、经济：生物医药投融资热度回升</w:t>
      </w:r>
    </w:p>
    <w:p>
      <w:pPr>
        <w:spacing w:before="75" w:after="0"/>
      </w:pPr>
      <w:r>
        <w:rPr/>
        <w:t xml:space="preserve">三、社会：患者对治愈性疗法期望高涨</w:t>
      </w:r>
    </w:p>
    <w:p>
      <w:pPr>
        <w:spacing w:before="75" w:after="0"/>
      </w:pPr>
      <w:r>
        <w:rPr/>
        <w:t xml:space="preserve">四、技术：合成生物学与ai加速靶点发现</w:t>
      </w:r>
    </w:p>
    <w:p>
      <w:pPr>
        <w:spacing w:before="75" w:after="0"/>
      </w:pPr>
      <w:r>
        <w:rPr/>
        <w:t xml:space="preserve">第三节 行业生命周期阶段判断</w:t>
      </w:r>
    </w:p>
    <w:p>
      <w:pPr>
        <w:spacing w:before="75" w:after="0"/>
      </w:pPr>
      <w:r>
        <w:rPr/>
        <w:t xml:space="preserve">一、整体处于导入期向成长期过渡</w:t>
      </w:r>
    </w:p>
    <w:p>
      <w:pPr>
        <w:spacing w:before="75" w:after="0"/>
      </w:pPr>
      <w:r>
        <w:rPr/>
        <w:t xml:space="preserve">二、血液瘤领域进入早期商业化</w:t>
      </w:r>
    </w:p>
    <w:p>
      <w:pPr>
        <w:spacing w:before="75" w:after="0"/>
      </w:pPr>
      <w:r>
        <w:rPr/>
        <w:t xml:space="preserve">三、实体瘤仍处临床验证关键阶段</w:t>
      </w:r>
    </w:p>
    <w:p>
      <w:pPr>
        <w:spacing w:before="75" w:after="0"/>
      </w:pPr>
      <w:r>
        <w:rPr>
          <w:b w:val="1"/>
          <w:bCs w:val="1"/>
        </w:rPr>
        <w:t xml:space="preserve">第十一章 细胞免疫治疗技术演进与创新路径</w:t>
      </w:r>
    </w:p>
    <w:p>
      <w:pPr>
        <w:spacing w:before="75" w:after="0"/>
      </w:pPr>
      <w:r>
        <w:rPr/>
        <w:t xml:space="preserve">第一节 新一代car结构优化</w:t>
      </w:r>
    </w:p>
    <w:p>
      <w:pPr>
        <w:spacing w:before="75" w:after="0"/>
      </w:pPr>
      <w:r>
        <w:rPr/>
        <w:t xml:space="preserve">一、逻辑门控car提升靶向精准度</w:t>
      </w:r>
    </w:p>
    <w:p>
      <w:pPr>
        <w:spacing w:before="75" w:after="0"/>
      </w:pPr>
      <w:r>
        <w:rPr/>
        <w:t xml:space="preserve">二、安全开关设计降低毒性风险</w:t>
      </w:r>
    </w:p>
    <w:p>
      <w:pPr>
        <w:spacing w:before="75" w:after="0"/>
      </w:pPr>
      <w:r>
        <w:rPr/>
        <w:t xml:space="preserve">三、记忆t细胞富集延长持久性</w:t>
      </w:r>
    </w:p>
    <w:p>
      <w:pPr>
        <w:spacing w:before="75" w:after="0"/>
      </w:pPr>
      <w:r>
        <w:rPr/>
        <w:t xml:space="preserve">第二节 通用型(off-the-shelf)技术突破</w:t>
      </w:r>
    </w:p>
    <w:p>
      <w:pPr>
        <w:spacing w:before="75" w:after="0"/>
      </w:pPr>
      <w:r>
        <w:rPr/>
        <w:t xml:space="preserve">一、基因编辑敲除tcr与hla</w:t>
      </w:r>
    </w:p>
    <w:p>
      <w:pPr>
        <w:spacing w:before="75" w:after="0"/>
      </w:pPr>
      <w:r>
        <w:rPr/>
        <w:t xml:space="preserve">二、ipsc来源nk细胞规模化生产</w:t>
      </w:r>
    </w:p>
    <w:p>
      <w:pPr>
        <w:spacing w:before="75" w:after="0"/>
      </w:pPr>
      <w:r>
        <w:rPr/>
        <w:t xml:space="preserve">三、冻存即用型产品降低交付周期</w:t>
      </w:r>
    </w:p>
    <w:p>
      <w:pPr>
        <w:spacing w:before="75" w:after="0"/>
      </w:pPr>
      <w:r>
        <w:rPr/>
        <w:t xml:space="preserve">第三节 联合治疗与微环境调控</w:t>
      </w:r>
    </w:p>
    <w:p>
      <w:pPr>
        <w:spacing w:before="75" w:after="0"/>
      </w:pPr>
      <w:r>
        <w:rPr/>
        <w:t xml:space="preserve">一、与pd-1/pd-l1抑制剂协同</w:t>
      </w:r>
    </w:p>
    <w:p>
      <w:pPr>
        <w:spacing w:before="75" w:after="0"/>
      </w:pPr>
      <w:r>
        <w:rPr/>
        <w:t xml:space="preserve">二、溶瘤病毒增强肿瘤浸润</w:t>
      </w:r>
    </w:p>
    <w:p>
      <w:pPr>
        <w:spacing w:before="75" w:after="0"/>
      </w:pPr>
      <w:r>
        <w:rPr/>
        <w:t xml:space="preserve">三、代谢调节改善t细胞功能</w:t>
      </w:r>
    </w:p>
    <w:p>
      <w:pPr>
        <w:spacing w:before="75" w:after="0"/>
      </w:pPr>
      <w:r>
        <w:rPr>
          <w:b w:val="1"/>
          <w:bCs w:val="1"/>
        </w:rPr>
        <w:t xml:space="preserve">第十二章 细胞免疫治疗行业区域发展格局</w:t>
      </w:r>
    </w:p>
    <w:p>
      <w:pPr>
        <w:spacing w:before="75" w:after="0"/>
      </w:pPr>
      <w:r>
        <w:rPr/>
        <w:t xml:space="preserve">第一节 长三角创新高地</w:t>
      </w:r>
    </w:p>
    <w:p>
      <w:pPr>
        <w:spacing w:before="75" w:after="0"/>
      </w:pPr>
      <w:r>
        <w:rPr/>
        <w:t xml:space="preserve">一、上海张江细胞治疗产业集群</w:t>
      </w:r>
    </w:p>
    <w:p>
      <w:pPr>
        <w:spacing w:before="75" w:after="0"/>
      </w:pPr>
      <w:r>
        <w:rPr/>
        <w:t xml:space="preserve">二、苏州biobay研发企业聚集</w:t>
      </w:r>
    </w:p>
    <w:p>
      <w:pPr>
        <w:spacing w:before="75" w:after="0"/>
      </w:pPr>
      <w:r>
        <w:rPr/>
        <w:t xml:space="preserve">三、杭州、南京临床资源协同</w:t>
      </w:r>
    </w:p>
    <w:p>
      <w:pPr>
        <w:spacing w:before="75" w:after="0"/>
      </w:pPr>
      <w:r>
        <w:rPr/>
        <w:t xml:space="preserve">第二节 京津冀协同发展</w:t>
      </w:r>
    </w:p>
    <w:p>
      <w:pPr>
        <w:spacing w:before="75" w:after="0"/>
      </w:pPr>
      <w:r>
        <w:rPr/>
        <w:t xml:space="preserve">一、北京科研与临床转化优势</w:t>
      </w:r>
    </w:p>
    <w:p>
      <w:pPr>
        <w:spacing w:before="75" w:after="0"/>
      </w:pPr>
      <w:r>
        <w:rPr/>
        <w:t xml:space="preserve">二、天津滨海新区生产布局</w:t>
      </w:r>
    </w:p>
    <w:p>
      <w:pPr>
        <w:spacing w:before="75" w:after="0"/>
      </w:pPr>
      <w:r>
        <w:rPr/>
        <w:t xml:space="preserve">三、雄安未来医疗健康示范区</w:t>
      </w:r>
    </w:p>
    <w:p>
      <w:pPr>
        <w:spacing w:before="75" w:after="0"/>
      </w:pPr>
      <w:r>
        <w:rPr/>
        <w:t xml:space="preserve">第三节 粤港澳大湾区融合</w:t>
      </w:r>
    </w:p>
    <w:p>
      <w:pPr>
        <w:spacing w:before="75" w:after="0"/>
      </w:pPr>
      <w:r>
        <w:rPr/>
        <w:t xml:space="preserve">一、深圳基因与细胞技术基础</w:t>
      </w:r>
    </w:p>
    <w:p>
      <w:pPr>
        <w:spacing w:before="75" w:after="0"/>
      </w:pPr>
      <w:r>
        <w:rPr/>
        <w:t xml:space="preserve">二、广州三甲医院临床网络</w:t>
      </w:r>
    </w:p>
    <w:p>
      <w:pPr>
        <w:spacing w:before="75" w:after="0"/>
      </w:pPr>
      <w:r>
        <w:rPr/>
        <w:t xml:space="preserve">三、横琴粤澳合作政策试点</w:t>
      </w:r>
    </w:p>
    <w:p>
      <w:pPr>
        <w:spacing w:before="75" w:after="0"/>
      </w:pPr>
      <w:r>
        <w:rPr>
          <w:b w:val="1"/>
          <w:bCs w:val="1"/>
        </w:rPr>
        <w:t xml:space="preserve">第十三章 细胞免疫治疗行业国际化合作路径</w:t>
      </w:r>
    </w:p>
    <w:p>
      <w:pPr>
        <w:spacing w:before="75" w:after="0"/>
      </w:pPr>
      <w:r>
        <w:rPr/>
        <w:t xml:space="preserve">第一节 技术授权与海外临床</w:t>
      </w:r>
    </w:p>
    <w:p>
      <w:pPr>
        <w:spacing w:before="75" w:after="0"/>
      </w:pPr>
      <w:r>
        <w:rPr/>
        <w:t xml:space="preserve">一、中国car-t产品出海欧美</w:t>
      </w:r>
    </w:p>
    <w:p>
      <w:pPr>
        <w:spacing w:before="75" w:after="0"/>
      </w:pPr>
      <w:r>
        <w:rPr/>
        <w:t xml:space="preserve">二、license-out交易金额提升</w:t>
      </w:r>
    </w:p>
    <w:p>
      <w:pPr>
        <w:spacing w:before="75" w:after="0"/>
      </w:pPr>
      <w:r>
        <w:rPr/>
        <w:t xml:space="preserve">三、中美双报临床试验设计</w:t>
      </w:r>
    </w:p>
    <w:p>
      <w:pPr>
        <w:spacing w:before="75" w:after="0"/>
      </w:pPr>
      <w:r>
        <w:rPr/>
        <w:t xml:space="preserve">第二节 国际多中心试验协作</w:t>
      </w:r>
    </w:p>
    <w:p>
      <w:pPr>
        <w:spacing w:before="75" w:after="0"/>
      </w:pPr>
      <w:r>
        <w:rPr/>
        <w:t xml:space="preserve">一、统一终点指标与数据标准</w:t>
      </w:r>
    </w:p>
    <w:p>
      <w:pPr>
        <w:spacing w:before="75" w:after="0"/>
      </w:pPr>
      <w:r>
        <w:rPr/>
        <w:t xml:space="preserve">二、跨境细胞样本运输合规</w:t>
      </w:r>
    </w:p>
    <w:p>
      <w:pPr>
        <w:spacing w:before="75" w:after="0"/>
      </w:pPr>
      <w:r>
        <w:rPr/>
        <w:t xml:space="preserve">三、伦理互认机制探索</w:t>
      </w:r>
    </w:p>
    <w:p>
      <w:pPr>
        <w:spacing w:before="75" w:after="0"/>
      </w:pPr>
      <w:r>
        <w:rPr/>
        <w:t xml:space="preserve">第三节 全球供应链安全</w:t>
      </w:r>
    </w:p>
    <w:p>
      <w:pPr>
        <w:spacing w:before="75" w:after="0"/>
      </w:pPr>
      <w:r>
        <w:rPr/>
        <w:t xml:space="preserve">一、关键试剂国产替代加速</w:t>
      </w:r>
    </w:p>
    <w:p>
      <w:pPr>
        <w:spacing w:before="75" w:after="0"/>
      </w:pPr>
      <w:r>
        <w:rPr/>
        <w:t xml:space="preserve">二、病毒载体海外备份产能</w:t>
      </w:r>
    </w:p>
    <w:p>
      <w:pPr>
        <w:spacing w:before="75" w:after="0"/>
      </w:pPr>
      <w:r>
        <w:rPr/>
        <w:t xml:space="preserve">三、知识产权全球布局策略</w:t>
      </w:r>
    </w:p>
    <w:p>
      <w:pPr>
        <w:spacing w:before="75" w:after="0"/>
      </w:pPr>
      <w:r>
        <w:rPr>
          <w:b w:val="1"/>
          <w:bCs w:val="1"/>
        </w:rPr>
        <w:t xml:space="preserve">第十四章 2026-2031年中国细胞免疫治疗行业发展趋势预测</w:t>
      </w:r>
    </w:p>
    <w:p>
      <w:pPr>
        <w:spacing w:before="75" w:after="0"/>
      </w:pPr>
      <w:r>
        <w:rPr/>
        <w:t xml:space="preserve">第一节 市场规模与结构预测</w:t>
      </w:r>
    </w:p>
    <w:p>
      <w:pPr>
        <w:spacing w:before="75" w:after="0"/>
      </w:pPr>
      <w:r>
        <w:rPr/>
        <w:t xml:space="preserve">一、血液瘤产品进入放量期</w:t>
      </w:r>
    </w:p>
    <w:p>
      <w:pPr>
        <w:spacing w:before="75" w:after="0"/>
      </w:pPr>
      <w:r>
        <w:rPr/>
        <w:t xml:space="preserve">二、首个实体瘤car-t有望获批</w:t>
      </w:r>
    </w:p>
    <w:p>
      <w:pPr>
        <w:spacing w:before="75" w:after="0"/>
      </w:pPr>
      <w:r>
        <w:rPr/>
        <w:t xml:space="preserve">三、通用型产品占比逐步提升</w:t>
      </w:r>
    </w:p>
    <w:p>
      <w:pPr>
        <w:spacing w:before="75" w:after="0"/>
      </w:pPr>
      <w:r>
        <w:rPr/>
        <w:t xml:space="preserve">第二节 技术演进方向预测</w:t>
      </w:r>
    </w:p>
    <w:p>
      <w:pPr>
        <w:spacing w:before="75" w:after="0"/>
      </w:pPr>
      <w:r>
        <w:rPr/>
        <w:t xml:space="preserve">一、自动化封闭生产成为标配</w:t>
      </w:r>
    </w:p>
    <w:p>
      <w:pPr>
        <w:spacing w:before="75" w:after="0"/>
      </w:pPr>
      <w:r>
        <w:rPr/>
        <w:t xml:space="preserve">二、ai驱动靶点与序列设计</w:t>
      </w:r>
    </w:p>
    <w:p>
      <w:pPr>
        <w:spacing w:before="75" w:after="0"/>
      </w:pPr>
      <w:r>
        <w:rPr/>
        <w:t xml:space="preserve">三、体内car-t技术进入临床</w:t>
      </w:r>
    </w:p>
    <w:p>
      <w:pPr>
        <w:spacing w:before="75" w:after="0"/>
      </w:pPr>
      <w:r>
        <w:rPr/>
        <w:t xml:space="preserve">第三节 产业组织形态预测</w:t>
      </w:r>
    </w:p>
    <w:p>
      <w:pPr>
        <w:spacing w:before="75" w:after="0"/>
      </w:pPr>
      <w:r>
        <w:rPr/>
        <w:t xml:space="preserve">一、biotech与big pharma深度绑定</w:t>
      </w:r>
    </w:p>
    <w:p>
      <w:pPr>
        <w:spacing w:before="75" w:after="0"/>
      </w:pPr>
      <w:r>
        <w:rPr/>
        <w:t xml:space="preserve">二、区域细胞治疗中心网络成型</w:t>
      </w:r>
    </w:p>
    <w:p>
      <w:pPr>
        <w:spacing w:before="75" w:after="0"/>
      </w:pPr>
      <w:r>
        <w:rPr/>
        <w:t xml:space="preserve">三、支付方参与价值评估体系</w:t>
      </w:r>
    </w:p>
    <w:p>
      <w:pPr>
        <w:spacing w:before="75" w:after="0"/>
      </w:pPr>
      <w:r>
        <w:rPr>
          <w:b w:val="1"/>
          <w:bCs w:val="1"/>
        </w:rPr>
        <w:t xml:space="preserve">第十五章 2026-2031年细胞免疫治疗行业投资机会与战略建议</w:t>
      </w:r>
    </w:p>
    <w:p>
      <w:pPr>
        <w:spacing w:before="75" w:after="0"/>
      </w:pPr>
      <w:r>
        <w:rPr/>
        <w:t xml:space="preserve">第一节 重点细分赛道投资价值</w:t>
      </w:r>
    </w:p>
    <w:p>
      <w:pPr>
        <w:spacing w:before="75" w:after="0"/>
      </w:pPr>
      <w:r>
        <w:rPr/>
        <w:t xml:space="preserve">一、通用型细胞治疗平台</w:t>
      </w:r>
    </w:p>
    <w:p>
      <w:pPr>
        <w:spacing w:before="75" w:after="0"/>
      </w:pPr>
      <w:r>
        <w:rPr/>
        <w:t xml:space="preserve">二、实体瘤靶点与递送技术</w:t>
      </w:r>
    </w:p>
    <w:p>
      <w:pPr>
        <w:spacing w:before="75" w:after="0"/>
      </w:pPr>
      <w:r>
        <w:rPr/>
        <w:t xml:space="preserve">三、自动化生产设备与cdmo</w:t>
      </w:r>
    </w:p>
    <w:p>
      <w:pPr>
        <w:spacing w:before="75" w:after="0"/>
      </w:pPr>
      <w:r>
        <w:rPr/>
        <w:t xml:space="preserve">第二节 区域与产业链布局策略</w:t>
      </w:r>
    </w:p>
    <w:p>
      <w:pPr>
        <w:spacing w:before="75" w:after="0"/>
      </w:pPr>
      <w:r>
        <w:rPr/>
        <w:t xml:space="preserve">一、优先布局临床资源密集区</w:t>
      </w:r>
    </w:p>
    <w:p>
      <w:pPr>
        <w:spacing w:before="75" w:after="0"/>
      </w:pPr>
      <w:r>
        <w:rPr/>
        <w:t xml:space="preserve">二、向上游病毒载体延伸</w:t>
      </w:r>
    </w:p>
    <w:p>
      <w:pPr>
        <w:spacing w:before="75" w:after="0"/>
      </w:pPr>
      <w:r>
        <w:rPr/>
        <w:t xml:space="preserve">三、向下游患者管理服务拓展</w:t>
      </w:r>
    </w:p>
    <w:p>
      <w:pPr>
        <w:spacing w:before="75" w:after="0"/>
      </w:pPr>
      <w:r>
        <w:rPr/>
        <w:t xml:space="preserve">第三节 风险防控与可持续发展</w:t>
      </w:r>
    </w:p>
    <w:p>
      <w:pPr>
        <w:spacing w:before="75" w:after="0"/>
      </w:pPr>
      <w:r>
        <w:rPr/>
        <w:t xml:space="preserve">一、规避临床失败与安全性风险</w:t>
      </w:r>
    </w:p>
    <w:p>
      <w:pPr>
        <w:spacing w:before="75" w:after="0"/>
      </w:pPr>
      <w:r>
        <w:rPr/>
        <w:t xml:space="preserve">二、构建柔性生产能力应对需求波动</w:t>
      </w:r>
    </w:p>
    <w:p>
      <w:pPr>
        <w:spacing w:before="75" w:after="0"/>
      </w:pPr>
      <w:r>
        <w:rPr/>
        <w:t xml:space="preserve">三、推动真实世界研究支持医保准入</w:t>
      </w:r>
    </w:p>
    <w:p>
      <w:pPr>
        <w:spacing w:before="75" w:after="0"/>
      </w:pPr>
      <w:r>
        <w:rPr>
          <w:b w:val="1"/>
          <w:bCs w:val="1"/>
        </w:rPr>
        <w:t xml:space="preserve">图表目录</w:t>
      </w:r>
    </w:p>
    <w:p>
      <w:pPr>
        <w:spacing w:before="75" w:after="0"/>
      </w:pPr>
      <w:r>
        <w:rPr/>
        <w:t xml:space="preserve">图表：2023-2025年全球细胞免疫治疗市场规模</w:t>
      </w:r>
    </w:p>
    <w:p>
      <w:pPr>
        <w:spacing w:before="75" w:after="0"/>
      </w:pPr>
      <w:r>
        <w:rPr/>
        <w:t xml:space="preserve">图表：2023-2025年美国fda批准car-t产品数量</w:t>
      </w:r>
    </w:p>
    <w:p>
      <w:pPr>
        <w:spacing w:before="75" w:after="0"/>
      </w:pPr>
      <w:r>
        <w:rPr/>
        <w:t xml:space="preserve">图表：2023-2025年欧洲ema细胞治疗审评周期</w:t>
      </w:r>
    </w:p>
    <w:p>
      <w:pPr>
        <w:spacing w:before="75" w:after="0"/>
      </w:pPr>
      <w:r>
        <w:rPr/>
        <w:t xml:space="preserve">图表：2023-2025年日本pmda异体细胞疗法进展</w:t>
      </w:r>
    </w:p>
    <w:p>
      <w:pPr>
        <w:spacing w:before="75" w:after="0"/>
      </w:pPr>
      <w:r>
        <w:rPr/>
        <w:t xml:space="preserve">图表：2023-2025年全球car-t临床试验数量分布</w:t>
      </w:r>
    </w:p>
    <w:p>
      <w:pPr>
        <w:spacing w:before="75" w:after="0"/>
      </w:pPr>
      <w:r>
        <w:rPr/>
        <w:t xml:space="preserve">图表：2023-2025年全球细胞治疗投融资总额</w:t>
      </w:r>
    </w:p>
    <w:p>
      <w:pPr>
        <w:spacing w:before="75" w:after="0"/>
      </w:pPr>
      <w:r>
        <w:rPr/>
        <w:t xml:space="preserve">图表：2023-2025年全球通用型细胞疗法管线占比</w:t>
      </w:r>
    </w:p>
    <w:p>
      <w:pPr>
        <w:spacing w:before="75" w:after="0"/>
      </w:pPr>
      <w:r>
        <w:rPr/>
        <w:t xml:space="preserve">图表：2023-2025年全球细胞治疗平均定价水平</w:t>
      </w:r>
    </w:p>
    <w:p>
      <w:pPr>
        <w:spacing w:before="75" w:after="0"/>
      </w:pPr>
      <w:r>
        <w:rPr/>
        <w:t xml:space="preserve">图表：2023-2025年全球细胞治疗支付创新案例数</w:t>
      </w:r>
    </w:p>
    <w:p>
      <w:pPr>
        <w:spacing w:before="75" w:after="0"/>
      </w:pPr>
      <w:r>
        <w:rPr/>
        <w:t xml:space="preserve">图表：2023-2025年中国细胞免疫治疗市场规模</w:t>
      </w:r>
    </w:p>
    <w:p>
      <w:pPr>
        <w:spacing w:before="75" w:after="0"/>
      </w:pPr>
      <w:r>
        <w:rPr/>
        <w:t xml:space="preserve">图表：2023-2025年中国获批car-t产品数量</w:t>
      </w:r>
    </w:p>
    <w:p>
      <w:pPr>
        <w:spacing w:before="75" w:after="0"/>
      </w:pPr>
      <w:r>
        <w:rPr/>
        <w:t xml:space="preserve">图表：2023-2025年中国细胞治疗临床试验数量</w:t>
      </w:r>
    </w:p>
    <w:p>
      <w:pPr>
        <w:spacing w:before="75" w:after="0"/>
      </w:pPr>
      <w:r>
        <w:rPr/>
        <w:t xml:space="preserve">图表：2023-2025年中国细胞治疗企业融资轮次</w:t>
      </w:r>
    </w:p>
    <w:p>
      <w:pPr>
        <w:spacing w:before="75" w:after="0"/>
      </w:pPr>
      <w:r>
        <w:rPr/>
        <w:t xml:space="preserve">图表：2023-2025年中国car-t医院覆盖数量</w:t>
      </w:r>
    </w:p>
    <w:p>
      <w:pPr>
        <w:spacing w:before="75" w:after="0"/>
      </w:pPr>
      <w:r>
        <w:rPr/>
        <w:t xml:space="preserve">图表：2023-2025年中国细胞治疗gmp合规生产设施数量</w:t>
      </w:r>
    </w:p>
    <w:p>
      <w:pPr>
        <w:spacing w:before="75" w:after="0"/>
      </w:pPr>
      <w:r>
        <w:rPr/>
        <w:t xml:space="preserve">图表：2023-2025年中国慢病毒载体产能利用率</w:t>
      </w:r>
    </w:p>
    <w:p>
      <w:pPr>
        <w:spacing w:before="75" w:after="0"/>
      </w:pPr>
      <w:r>
        <w:rPr/>
        <w:t xml:space="preserve">图表：2023-2025年中国细胞治疗cdmo市场规模</w:t>
      </w:r>
    </w:p>
    <w:p>
      <w:pPr>
        <w:spacing w:before="75" w:after="0"/>
      </w:pPr>
      <w:r>
        <w:rPr/>
        <w:t xml:space="preserve">图表：2023-2025年中国细胞治疗冷链运输成本</w:t>
      </w:r>
    </w:p>
    <w:p>
      <w:pPr>
        <w:spacing w:before="75" w:after="0"/>
      </w:pPr>
      <w:r>
        <w:rPr/>
        <w:t xml:space="preserve">图表：2023-2025年中国细胞治疗患者自费比例</w:t>
      </w:r>
    </w:p>
    <w:p>
      <w:pPr>
        <w:spacing w:before="75" w:after="0"/>
      </w:pPr>
      <w:r>
        <w:rPr/>
        <w:t xml:space="preserve">图表：2023-2025年中国细胞治疗专利申请量</w:t>
      </w:r>
    </w:p>
    <w:p>
      <w:pPr>
        <w:spacing w:before="75" w:after="0"/>
      </w:pPr>
      <w:r>
        <w:rPr/>
        <w:t xml:space="preserve">图表：2023-2025年中国细胞治疗国际合作项目</w:t>
      </w:r>
    </w:p>
    <w:p>
      <w:pPr>
        <w:spacing w:before="75" w:after="0"/>
      </w:pPr>
      <w:r>
        <w:rPr/>
        <w:t xml:space="preserve">图表：2023-2025年中国细胞治疗区域集群数量</w:t>
      </w:r>
    </w:p>
    <w:p>
      <w:pPr>
        <w:spacing w:before="75" w:after="0"/>
      </w:pPr>
      <w:r>
        <w:rPr/>
        <w:t xml:space="preserve">图表：2023-2025年中国细胞治疗人才供给量</w:t>
      </w:r>
    </w:p>
    <w:p>
      <w:pPr>
        <w:spacing w:before="75" w:after="0"/>
      </w:pPr>
      <w:r>
        <w:rPr/>
        <w:t xml:space="preserve">图表：2023-2025年中国细胞治疗esg披露率</w:t>
      </w:r>
    </w:p>
    <w:p>
      <w:pPr>
        <w:spacing w:before="75" w:after="0"/>
      </w:pPr>
      <w:r>
        <w:rPr/>
        <w:t xml:space="preserve">图表：2023-2025年中国细胞治疗真实世界研究数</w:t>
      </w:r>
    </w:p>
    <w:p>
      <w:pPr>
        <w:spacing w:before="75" w:after="0"/>
      </w:pPr>
      <w:r>
        <w:rPr/>
        <w:t xml:space="preserve">图表：2023-2025年全球细胞治疗不良反应发生率</w:t>
      </w:r>
    </w:p>
    <w:p>
      <w:pPr>
        <w:spacing w:before="75" w:after="0"/>
      </w:pPr>
      <w:r>
        <w:rPr/>
        <w:t xml:space="preserve">图表：2026-2031年中国细胞治疗平均治疗成本预测</w:t>
      </w:r>
    </w:p>
    <w:p>
      <w:pPr>
        <w:spacing w:before="75" w:after="0"/>
      </w:pPr>
      <w:r>
        <w:rPr/>
        <w:t xml:space="preserve">图表：2026-2031年中国细胞免疫治疗市场规模预测</w:t>
      </w:r>
    </w:p>
    <w:p>
      <w:pPr>
        <w:spacing w:before="75" w:after="0"/>
      </w:pPr>
      <w:r>
        <w:rPr/>
        <w:t xml:space="preserve">图表：2026-2031年中国car-t产品数量预测</w:t>
      </w:r>
    </w:p>
    <w:p>
      <w:pPr>
        <w:spacing w:before="75" w:after="0"/>
      </w:pPr>
      <w:r>
        <w:rPr/>
        <w:t xml:space="preserve">图表：2026-2031年中国实体瘤car-t获批预测</w:t>
      </w:r>
    </w:p>
    <w:p>
      <w:pPr>
        <w:spacing w:before="75" w:after="0"/>
      </w:pPr>
      <w:r>
        <w:rPr/>
        <w:t xml:space="preserve">图表：2026-2031年中国通用型产品占比预测</w:t>
      </w:r>
    </w:p>
    <w:p>
      <w:pPr>
        <w:spacing w:before="75" w:after="0"/>
      </w:pPr>
      <w:r>
        <w:rPr/>
        <w:t xml:space="preserve">图表：2026-2031年中国细胞治疗临床试验增速预测</w:t>
      </w:r>
    </w:p>
    <w:p>
      <w:pPr>
        <w:spacing w:before="75" w:after="0"/>
      </w:pPr>
      <w:r>
        <w:rPr/>
        <w:t xml:space="preserve">图表：2026-2031年中国细胞治疗gmp产能预测</w:t>
      </w:r>
    </w:p>
    <w:p>
      <w:pPr>
        <w:spacing w:before="75" w:after="0"/>
      </w:pPr>
      <w:r>
        <w:rPr/>
        <w:t xml:space="preserve">图表：2026-2031年中国慢病毒载体自给率预测</w:t>
      </w:r>
    </w:p>
    <w:p>
      <w:pPr>
        <w:spacing w:before="75" w:after="0"/>
      </w:pPr>
      <w:r>
        <w:rPr/>
        <w:t xml:space="preserve">图表：2026-2031年中国细胞治疗cdmo集中度预测</w:t>
      </w:r>
    </w:p>
    <w:p>
      <w:pPr>
        <w:spacing w:before="75" w:after="0"/>
      </w:pPr>
      <w:r>
        <w:rPr/>
        <w:t xml:space="preserve">图表：2026-2031年中国细胞治疗冷链成本下降预测</w:t>
      </w:r>
    </w:p>
    <w:p>
      <w:pPr>
        <w:spacing w:before="75" w:after="0"/>
      </w:pPr>
      <w:r>
        <w:rPr/>
        <w:t xml:space="preserve">图表：2026-2031年中国细胞治疗医保覆盖比例预测</w:t>
      </w:r>
    </w:p>
    <w:p>
      <w:pPr>
        <w:spacing w:before="75" w:after="0"/>
      </w:pPr>
      <w:r>
        <w:rPr/>
        <w:t xml:space="preserve">图表：2026-2031年中国细胞治疗患者可及性预测</w:t>
      </w:r>
    </w:p>
    <w:p>
      <w:pPr>
        <w:spacing w:before="75" w:after="0"/>
      </w:pPr>
      <w:r>
        <w:rPr/>
        <w:t xml:space="preserve">图表：2026-2031年全球细胞治疗市场饱和预测</w:t>
      </w:r>
    </w:p>
    <w:p>
      <w:pPr>
        <w:spacing w:before="75" w:after="0"/>
      </w:pPr>
      <w:r>
        <w:rPr/>
        <w:t xml:space="preserve">图表：2026-2031年全球通用型细胞疗法市占率预测</w:t>
      </w:r>
    </w:p>
    <w:p>
      <w:pPr>
        <w:spacing w:before="75" w:after="0"/>
      </w:pPr>
      <w:r>
        <w:rPr/>
        <w:t xml:space="preserve">图表：2026-2031年“一带一路”细胞治疗合作预测</w:t>
      </w:r>
    </w:p>
    <w:p>
      <w:pPr>
        <w:spacing w:before="75" w:after="0"/>
      </w:pPr>
      <w:r>
        <w:rPr/>
        <w:t xml:space="preserve">图表：2026-2031年中国细胞治疗出海产品数量预测</w:t>
      </w:r>
    </w:p>
    <w:p>
      <w:pPr>
        <w:spacing w:before="75" w:after="0"/>
      </w:pPr>
      <w:r>
        <w:rPr/>
        <w:t xml:space="preserve">图表：2026-2031年中国细胞治疗自动化渗透率预测</w:t>
      </w:r>
    </w:p>
    <w:p>
      <w:pPr>
        <w:spacing w:before="75" w:after="0"/>
      </w:pPr>
      <w:r>
        <w:rPr/>
        <w:t xml:space="preserve">图表：2026-2031年中国细胞治疗ai应用覆盖率预测</w:t>
      </w:r>
    </w:p>
    <w:p>
      <w:pPr>
        <w:spacing w:before="75" w:after="0"/>
      </w:pPr>
      <w:r>
        <w:rPr/>
        <w:t xml:space="preserve">图表：2026-2031年中国细胞治疗联合疗法占比预测</w:t>
      </w:r>
    </w:p>
    <w:p>
      <w:pPr>
        <w:spacing w:before="75" w:after="0"/>
      </w:pPr>
      <w:r>
        <w:rPr/>
        <w:t xml:space="preserve">图表：2026-2031年中国细胞治疗安全性事件下降预测</w:t>
      </w:r>
    </w:p>
    <w:p>
      <w:pPr>
        <w:spacing w:before="75" w:after="0"/>
      </w:pPr>
      <w:r>
        <w:rPr/>
        <w:t xml:space="preserve">图表：2026-2031年中国细胞治疗科普覆盖率预测</w:t>
      </w:r>
    </w:p>
    <w:p>
      <w:pPr>
        <w:spacing w:before="75" w:after="0"/>
      </w:pPr>
      <w:r>
        <w:rPr/>
        <w:t xml:space="preserve">图表：2026-2031年中国细胞治疗患者社群数量预测</w:t>
      </w:r>
    </w:p>
    <w:p>
      <w:pPr>
        <w:spacing w:before="75" w:after="0"/>
      </w:pPr>
      <w:r>
        <w:rPr/>
        <w:t xml:space="preserve">图表：2026-2031年中国细胞治疗伦理审查效率预测</w:t>
      </w:r>
    </w:p>
    <w:p>
      <w:pPr>
        <w:spacing w:before="75" w:after="0"/>
      </w:pPr>
      <w:r>
        <w:rPr/>
        <w:t xml:space="preserve">图表：2026-2031年中国细胞治疗普惠援助覆盖率预测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2026-2031年中国细胞免疫治疗行业全景调研及投资趋势预测报告</dc:title>
  <dc:description>2026-2031年中国细胞免疫治疗行业全景调研及投资趋势预测报告</dc:description>
  <dc:subject>2026-2031年中国细胞免疫治疗行业全景调研及投资趋势预测报告</dc:subject>
  <cp:keywords>研究报告</cp:keywords>
  <cp:category>研究报告</cp:category>
  <cp:lastModifiedBy>北京中道泰和信息咨询有限公司</cp:lastModifiedBy>
  <dcterms:created xsi:type="dcterms:W3CDTF">2026-03-31T11:12:59+08:00</dcterms:created>
  <dcterms:modified xsi:type="dcterms:W3CDTF">2026-03-31T11:12:59+08:00</dcterms:modified>
</cp:coreProperties>
</file>

<file path=docProps/custom.xml><?xml version="1.0" encoding="utf-8"?>
<Properties xmlns="http://schemas.openxmlformats.org/officeDocument/2006/custom-properties" xmlns:vt="http://schemas.openxmlformats.org/officeDocument/2006/docPropsVTypes"/>
</file>