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2026-2031年中国算力工程行业深度全景调研及投资战略咨询报告</w:t>
      </w:r>
    </w:p>
    <w:p>
      <w:pPr>
        <w:spacing w:after="150"/>
      </w:pPr>
      <w:r>
        <w:rPr>
          <w:b w:val="1"/>
          <w:bCs w:val="1"/>
        </w:rPr>
        <w:t xml:space="preserve">报告简介</w:t>
      </w:r>
    </w:p>
    <w:p>
      <w:pPr>
        <w:spacing w:after="150"/>
      </w:pPr>
      <w:r>
        <w:rPr/>
        <w:t xml:space="preserve">算力工程是一门系统性规划、设计、构建与优化计算能力基础设施的综合性技术学科，旨在通过整合硬件、软件、网络与能源等多维资源，高效支撑数据密集型与计算密集型任务的运行需求。其核心目标是实现算力资源的规模化供给、智能化调度与绿色化运营，满足从科学研究到商业应用的广泛场景对高性能计算能力的持续增长需求。</w:t>
      </w:r>
    </w:p>
    <w:p>
      <w:pPr>
        <w:spacing w:after="150"/>
      </w:pPr>
      <w:r>
        <w:rPr/>
        <w:t xml:space="preserve">算力工程不仅关注单个计算设备的性能提升，更强调在数据中心乃至全国一体化算力网络层面进行全局优化，涵盖计算架构设计、异构芯片协同、能效管理、数据传输优化与安全防护等多个技术维度。随着人工智能、大数据分析与云计算的迅猛发展，算力已演变为数字经济时代的关键生产要素，算力工程也因此成为推动技术进步与产业变革的核心驱动力之一。</w:t>
      </w:r>
    </w:p>
    <w:p>
      <w:pPr>
        <w:spacing w:after="150"/>
      </w:pPr>
      <w:r>
        <w:rPr/>
        <w:t xml:space="preserve">该领域需综合运用计算机体系结构、电力电子、热力学、自动化控制与信息通信等跨学科知识，构建高可靠、低时延、可扩展的算力底座。在工程实践中，算力工程涉及从芯片级的算力单元到集群级的算力中心，再到区域级和国家级算力网络的多层次体系建设，尤其注重解决东西部资源分布不均、算力供需错配与能效瓶颈等现实挑战。通过“东数西算”等国家战略工程的实施，算力工程正推动形成集约化、协同化、智能化的全国算力“一张网”，实现算力资源的跨域调度与高效利用。</w:t>
      </w:r>
    </w:p>
    <w:p>
      <w:pPr>
        <w:spacing w:after="150"/>
      </w:pPr>
      <w:r>
        <w:rPr/>
        <w:t xml:space="preserve">同时，为应对AI大模型训练与推理带来的指数级算力需求，算力工程不断探索新型计算架构，如存算一体、光子计算与量子计算等前沿方向，并强化软硬协同优化能力，以提升整体系统的吞吐效率与响应速度。此外，绿色低碳已成为算力工程的重要导向，通过优化数据中心PUE(电能使用效率)、推广可再生能源供电与液冷散热技术，降低单位算力的碳排放强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算力工程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算力工程行业概述</w:t>
      </w:r>
    </w:p>
    <w:p>
      <w:pPr>
        <w:spacing w:before="75" w:after="0"/>
      </w:pPr>
      <w:r>
        <w:rPr/>
        <w:t xml:space="preserve">第一节 算力工程的基本定义与内涵边界</w:t>
      </w:r>
    </w:p>
    <w:p>
      <w:pPr>
        <w:spacing w:before="75" w:after="0"/>
      </w:pPr>
      <w:r>
        <w:rPr/>
        <w:t xml:space="preserve">一、算力工程的核心构成要素</w:t>
      </w:r>
    </w:p>
    <w:p>
      <w:pPr>
        <w:spacing w:before="75" w:after="0"/>
      </w:pPr>
      <w:r>
        <w:rPr/>
        <w:t xml:space="preserve">二、与数据中心、云计算的本质区别</w:t>
      </w:r>
    </w:p>
    <w:p>
      <w:pPr>
        <w:spacing w:before="75" w:after="0"/>
      </w:pPr>
      <w:r>
        <w:rPr/>
        <w:t xml:space="preserve">三、在数字基础设施中的战略定位</w:t>
      </w:r>
    </w:p>
    <w:p>
      <w:pPr>
        <w:spacing w:before="75" w:after="0"/>
      </w:pPr>
      <w:r>
        <w:rPr/>
        <w:t xml:space="preserve">第二节 算力工程产业链结构解析</w:t>
      </w:r>
    </w:p>
    <w:p>
      <w:pPr>
        <w:spacing w:before="75" w:after="0"/>
      </w:pPr>
      <w:r>
        <w:rPr/>
        <w:t xml:space="preserve">一、上游芯片、服务器与网络设备供应</w:t>
      </w:r>
    </w:p>
    <w:p>
      <w:pPr>
        <w:spacing w:before="75" w:after="0"/>
      </w:pPr>
      <w:r>
        <w:rPr/>
        <w:t xml:space="preserve">二、中游算力中心设计、建设与集成</w:t>
      </w:r>
    </w:p>
    <w:p>
      <w:pPr>
        <w:spacing w:before="75" w:after="0"/>
      </w:pPr>
      <w:r>
        <w:rPr/>
        <w:t xml:space="preserve">三、下游人工智能、科学计算与行业应用</w:t>
      </w:r>
    </w:p>
    <w:p>
      <w:pPr>
        <w:spacing w:before="75" w:after="0"/>
      </w:pPr>
      <w:r>
        <w:rPr/>
        <w:t xml:space="preserve">第三节 算力工程主要类型划分</w:t>
      </w:r>
    </w:p>
    <w:p>
      <w:pPr>
        <w:spacing w:before="75" w:after="0"/>
      </w:pPr>
      <w:r>
        <w:rPr/>
        <w:t xml:space="preserve">一、按技术架构划分</w:t>
      </w:r>
    </w:p>
    <w:p>
      <w:pPr>
        <w:spacing w:before="75" w:after="0"/>
      </w:pPr>
      <w:r>
        <w:rPr/>
        <w:t xml:space="preserve">二、按部署模式划分</w:t>
      </w:r>
    </w:p>
    <w:p>
      <w:pPr>
        <w:spacing w:before="75" w:after="0"/>
      </w:pPr>
      <w:r>
        <w:rPr/>
        <w:t xml:space="preserve">三、按服务形态划分</w:t>
      </w:r>
    </w:p>
    <w:p>
      <w:pPr>
        <w:spacing w:before="75" w:after="0"/>
      </w:pPr>
      <w:r>
        <w:rPr>
          <w:b w:val="1"/>
          <w:bCs w:val="1"/>
        </w:rPr>
        <w:t xml:space="preserve">第二章 全球算力工程行业发展现状</w:t>
      </w:r>
    </w:p>
    <w:p>
      <w:pPr>
        <w:spacing w:before="75" w:after="0"/>
      </w:pPr>
      <w:r>
        <w:rPr/>
        <w:t xml:space="preserve">第一节 全球算力资源分布与区域格局</w:t>
      </w:r>
    </w:p>
    <w:p>
      <w:pPr>
        <w:spacing w:before="75" w:after="0"/>
      </w:pPr>
      <w:r>
        <w:rPr/>
        <w:t xml:space="preserve">一、北美以ai大模型驱动智能算力扩张</w:t>
      </w:r>
    </w:p>
    <w:p>
      <w:pPr>
        <w:spacing w:before="75" w:after="0"/>
      </w:pPr>
      <w:r>
        <w:rPr/>
        <w:t xml:space="preserve">二、欧洲聚焦绿色算力与科研超算协同</w:t>
      </w:r>
    </w:p>
    <w:p>
      <w:pPr>
        <w:spacing w:before="75" w:after="0"/>
      </w:pPr>
      <w:r>
        <w:rPr/>
        <w:t xml:space="preserve">三、亚太地区算力基建加速但利用率不均</w:t>
      </w:r>
    </w:p>
    <w:p>
      <w:pPr>
        <w:spacing w:before="75" w:after="0"/>
      </w:pPr>
      <w:r>
        <w:rPr/>
        <w:t xml:space="preserve">第二节 全球技术演进与能效提升路径</w:t>
      </w:r>
    </w:p>
    <w:p>
      <w:pPr>
        <w:spacing w:before="75" w:after="0"/>
      </w:pPr>
      <w:r>
        <w:rPr/>
        <w:t xml:space="preserve">一、异构计算架构成为主流</w:t>
      </w:r>
    </w:p>
    <w:p>
      <w:pPr>
        <w:spacing w:before="75" w:after="0"/>
      </w:pPr>
      <w:r>
        <w:rPr/>
        <w:t xml:space="preserve">二、液冷与浸没式散热普及率提高</w:t>
      </w:r>
    </w:p>
    <w:p>
      <w:pPr>
        <w:spacing w:before="75" w:after="0"/>
      </w:pPr>
      <w:r>
        <w:rPr/>
        <w:t xml:space="preserve">三、算力调度与虚拟化技术成熟</w:t>
      </w:r>
    </w:p>
    <w:p>
      <w:pPr>
        <w:spacing w:before="75" w:after="0"/>
      </w:pPr>
      <w:r>
        <w:rPr/>
        <w:t xml:space="preserve">第三节 全球市场供需与商业模式创新</w:t>
      </w:r>
    </w:p>
    <w:p>
      <w:pPr>
        <w:spacing w:before="75" w:after="0"/>
      </w:pPr>
      <w:r>
        <w:rPr/>
        <w:t xml:space="preserve">一、云厂商主导算力即服务(caas)</w:t>
      </w:r>
    </w:p>
    <w:p>
      <w:pPr>
        <w:spacing w:before="75" w:after="0"/>
      </w:pPr>
      <w:r>
        <w:rPr/>
        <w:t xml:space="preserve">二、政府主导国家级算力网络建设</w:t>
      </w:r>
    </w:p>
    <w:p>
      <w:pPr>
        <w:spacing w:before="75" w:after="0"/>
      </w:pPr>
      <w:r>
        <w:rPr/>
        <w:t xml:space="preserve">三、企业自建与第三方托管并存</w:t>
      </w:r>
    </w:p>
    <w:p>
      <w:pPr>
        <w:spacing w:before="75" w:after="0"/>
      </w:pPr>
      <w:r>
        <w:rPr>
          <w:b w:val="1"/>
          <w:bCs w:val="1"/>
        </w:rPr>
        <w:t xml:space="preserve">第三章 中国算力工程行业发展回顾</w:t>
      </w:r>
    </w:p>
    <w:p>
      <w:pPr>
        <w:spacing w:before="75" w:after="0"/>
      </w:pPr>
      <w:r>
        <w:rPr/>
        <w:t xml:space="preserve">第一节 行业运行总体特征</w:t>
      </w:r>
    </w:p>
    <w:p>
      <w:pPr>
        <w:spacing w:before="75" w:after="0"/>
      </w:pPr>
      <w:r>
        <w:rPr/>
        <w:t xml:space="preserve">一、“东数西算”工程全面启动</w:t>
      </w:r>
    </w:p>
    <w:p>
      <w:pPr>
        <w:spacing w:before="75" w:after="0"/>
      </w:pPr>
      <w:r>
        <w:rPr/>
        <w:t xml:space="preserve">二、智能算力需求爆发式增长</w:t>
      </w:r>
    </w:p>
    <w:p>
      <w:pPr>
        <w:spacing w:before="75" w:after="0"/>
      </w:pPr>
      <w:r>
        <w:rPr/>
        <w:t xml:space="preserve">三、算力供给结构性过剩与短缺并存</w:t>
      </w:r>
    </w:p>
    <w:p>
      <w:pPr>
        <w:spacing w:before="75" w:after="0"/>
      </w:pPr>
      <w:r>
        <w:rPr/>
        <w:t xml:space="preserve">第二节 市场主体格局变化</w:t>
      </w:r>
    </w:p>
    <w:p>
      <w:pPr>
        <w:spacing w:before="75" w:after="0"/>
      </w:pPr>
      <w:r>
        <w:rPr/>
        <w:t xml:space="preserve">一、三大运营商加快算力网络布局</w:t>
      </w:r>
    </w:p>
    <w:p>
      <w:pPr>
        <w:spacing w:before="75" w:after="0"/>
      </w:pPr>
      <w:r>
        <w:rPr/>
        <w:t xml:space="preserve">二、互联网巨头自建智算中心</w:t>
      </w:r>
    </w:p>
    <w:p>
      <w:pPr>
        <w:spacing w:before="75" w:after="0"/>
      </w:pPr>
      <w:r>
        <w:rPr/>
        <w:t xml:space="preserve">三、专业idc与系统集成商转型</w:t>
      </w:r>
    </w:p>
    <w:p>
      <w:pPr>
        <w:spacing w:before="75" w:after="0"/>
      </w:pPr>
      <w:r>
        <w:rPr/>
        <w:t xml:space="preserve">第三节 技术能力与基础设施进展</w:t>
      </w:r>
    </w:p>
    <w:p>
      <w:pPr>
        <w:spacing w:before="75" w:after="0"/>
      </w:pPr>
      <w:r>
        <w:rPr/>
        <w:t xml:space="preserve">一、国产ai芯片适配生态初步形成</w:t>
      </w:r>
    </w:p>
    <w:p>
      <w:pPr>
        <w:spacing w:before="75" w:after="0"/>
      </w:pPr>
      <w:r>
        <w:rPr/>
        <w:t xml:space="preserve">二、万卡级集群部署能力验证</w:t>
      </w:r>
    </w:p>
    <w:p>
      <w:pPr>
        <w:spacing w:before="75" w:after="0"/>
      </w:pPr>
      <w:r>
        <w:rPr/>
        <w:t xml:space="preserve">三、算力互联互通试点取得突破</w:t>
      </w:r>
    </w:p>
    <w:p>
      <w:pPr>
        <w:spacing w:before="75" w:after="0"/>
      </w:pPr>
      <w:r>
        <w:rPr>
          <w:b w:val="1"/>
          <w:bCs w:val="1"/>
        </w:rPr>
        <w:t xml:space="preserve">第四章 算力工程行业制度与标准环境演变</w:t>
      </w:r>
    </w:p>
    <w:p>
      <w:pPr>
        <w:spacing w:before="75" w:after="0"/>
      </w:pPr>
      <w:r>
        <w:rPr/>
        <w:t xml:space="preserve">第一节 算力资源统筹与调度机制</w:t>
      </w:r>
    </w:p>
    <w:p>
      <w:pPr>
        <w:spacing w:before="75" w:after="0"/>
      </w:pPr>
      <w:r>
        <w:rPr/>
        <w:t xml:space="preserve">一、全国一体化算力网顶层设计</w:t>
      </w:r>
    </w:p>
    <w:p>
      <w:pPr>
        <w:spacing w:before="75" w:after="0"/>
      </w:pPr>
      <w:r>
        <w:rPr/>
        <w:t xml:space="preserve">二、跨域算力交易与结算规则</w:t>
      </w:r>
    </w:p>
    <w:p>
      <w:pPr>
        <w:spacing w:before="75" w:after="0"/>
      </w:pPr>
      <w:r>
        <w:rPr/>
        <w:t xml:space="preserve">三、算力服务质量评价体系建立</w:t>
      </w:r>
    </w:p>
    <w:p>
      <w:pPr>
        <w:spacing w:before="75" w:after="0"/>
      </w:pPr>
      <w:r>
        <w:rPr/>
        <w:t xml:space="preserve">第二节 能效与绿色低碳要求</w:t>
      </w:r>
    </w:p>
    <w:p>
      <w:pPr>
        <w:spacing w:before="75" w:after="0"/>
      </w:pPr>
      <w:r>
        <w:rPr/>
        <w:t xml:space="preserve">一、pue限值纳入新建项目审批</w:t>
      </w:r>
    </w:p>
    <w:p>
      <w:pPr>
        <w:spacing w:before="75" w:after="0"/>
      </w:pPr>
      <w:r>
        <w:rPr/>
        <w:t xml:space="preserve">二、可再生能源使用比例引导</w:t>
      </w:r>
    </w:p>
    <w:p>
      <w:pPr>
        <w:spacing w:before="75" w:after="0"/>
      </w:pPr>
      <w:r>
        <w:rPr/>
        <w:t xml:space="preserve">三、碳足迹核算与披露规范</w:t>
      </w:r>
    </w:p>
    <w:p>
      <w:pPr>
        <w:spacing w:before="75" w:after="0"/>
      </w:pPr>
      <w:r>
        <w:rPr/>
        <w:t xml:space="preserve">第三节 安全可信与自主可控导向</w:t>
      </w:r>
    </w:p>
    <w:p>
      <w:pPr>
        <w:spacing w:before="75" w:after="0"/>
      </w:pPr>
      <w:r>
        <w:rPr/>
        <w:t xml:space="preserve">一、关键软硬件国产化替代要求</w:t>
      </w:r>
    </w:p>
    <w:p>
      <w:pPr>
        <w:spacing w:before="75" w:after="0"/>
      </w:pPr>
      <w:r>
        <w:rPr/>
        <w:t xml:space="preserve">二、算力设施网络安全等级保护</w:t>
      </w:r>
    </w:p>
    <w:p>
      <w:pPr>
        <w:spacing w:before="75" w:after="0"/>
      </w:pPr>
      <w:r>
        <w:rPr/>
        <w:t xml:space="preserve">三、数据跨境流动与算力主权界定</w:t>
      </w:r>
    </w:p>
    <w:p>
      <w:pPr>
        <w:spacing w:before="75" w:after="0"/>
      </w:pPr>
      <w:r>
        <w:rPr>
          <w:b w:val="1"/>
          <w:bCs w:val="1"/>
        </w:rPr>
        <w:t xml:space="preserve">第五章 算力工程行业上游支撑体系分析</w:t>
      </w:r>
    </w:p>
    <w:p>
      <w:pPr>
        <w:spacing w:before="75" w:after="0"/>
      </w:pPr>
      <w:r>
        <w:rPr/>
        <w:t xml:space="preserve">第一节 芯片与硬件设备供应</w:t>
      </w:r>
    </w:p>
    <w:p>
      <w:pPr>
        <w:spacing w:before="75" w:after="0"/>
      </w:pPr>
      <w:r>
        <w:rPr/>
        <w:t xml:space="preserve">一、gpu/asic/npu等加速芯片迭代</w:t>
      </w:r>
    </w:p>
    <w:p>
      <w:pPr>
        <w:spacing w:before="75" w:after="0"/>
      </w:pPr>
      <w:r>
        <w:rPr/>
        <w:t xml:space="preserve">二、服务器定制化与开放标准推进</w:t>
      </w:r>
    </w:p>
    <w:p>
      <w:pPr>
        <w:spacing w:before="75" w:after="0"/>
      </w:pPr>
      <w:r>
        <w:rPr/>
        <w:t xml:space="preserve">三、高速互联与光模块技术升级</w:t>
      </w:r>
    </w:p>
    <w:p>
      <w:pPr>
        <w:spacing w:before="75" w:after="0"/>
      </w:pPr>
      <w:r>
        <w:rPr/>
        <w:t xml:space="preserve">第二节 软件与系统平台</w:t>
      </w:r>
    </w:p>
    <w:p>
      <w:pPr>
        <w:spacing w:before="75" w:after="0"/>
      </w:pPr>
      <w:r>
        <w:rPr/>
        <w:t xml:space="preserve">一、操作系统与编译器优化</w:t>
      </w:r>
    </w:p>
    <w:p>
      <w:pPr>
        <w:spacing w:before="75" w:after="0"/>
      </w:pPr>
      <w:r>
        <w:rPr/>
        <w:t xml:space="preserve">二、分布式训练框架成熟度</w:t>
      </w:r>
    </w:p>
    <w:p>
      <w:pPr>
        <w:spacing w:before="75" w:after="0"/>
      </w:pPr>
      <w:r>
        <w:rPr/>
        <w:t xml:space="preserve">三、算力调度与资源管理平台</w:t>
      </w:r>
    </w:p>
    <w:p>
      <w:pPr>
        <w:spacing w:before="75" w:after="0"/>
      </w:pPr>
      <w:r>
        <w:rPr/>
        <w:t xml:space="preserve">第三节 能源与基础设施配套</w:t>
      </w:r>
    </w:p>
    <w:p>
      <w:pPr>
        <w:spacing w:before="75" w:after="0"/>
      </w:pPr>
      <w:r>
        <w:rPr/>
        <w:t xml:space="preserve">一、电力保障与双回路供电</w:t>
      </w:r>
    </w:p>
    <w:p>
      <w:pPr>
        <w:spacing w:before="75" w:after="0"/>
      </w:pPr>
      <w:r>
        <w:rPr/>
        <w:t xml:space="preserve">二、水资源对液冷方案制约</w:t>
      </w:r>
    </w:p>
    <w:p>
      <w:pPr>
        <w:spacing w:before="75" w:after="0"/>
      </w:pPr>
      <w:r>
        <w:rPr/>
        <w:t xml:space="preserve">三、土地与环评审批流程优化</w:t>
      </w:r>
    </w:p>
    <w:p>
      <w:pPr>
        <w:spacing w:before="75" w:after="0"/>
      </w:pPr>
      <w:r>
        <w:rPr>
          <w:b w:val="1"/>
          <w:bCs w:val="1"/>
        </w:rPr>
        <w:t xml:space="preserve">第六章 算力工程行业中游建设运营分析</w:t>
      </w:r>
    </w:p>
    <w:p>
      <w:pPr>
        <w:spacing w:before="75" w:after="0"/>
      </w:pPr>
      <w:r>
        <w:rPr/>
        <w:t xml:space="preserve">第一节 规划设计与工程集成</w:t>
      </w:r>
    </w:p>
    <w:p>
      <w:pPr>
        <w:spacing w:before="75" w:after="0"/>
      </w:pPr>
      <w:r>
        <w:rPr/>
        <w:t xml:space="preserve">一、高密度机柜布局与气流组织</w:t>
      </w:r>
    </w:p>
    <w:p>
      <w:pPr>
        <w:spacing w:before="75" w:after="0"/>
      </w:pPr>
      <w:r>
        <w:rPr/>
        <w:t xml:space="preserve">二、模块化预制数据中心推广</w:t>
      </w:r>
    </w:p>
    <w:p>
      <w:pPr>
        <w:spacing w:before="75" w:after="0"/>
      </w:pPr>
      <w:r>
        <w:rPr/>
        <w:t xml:space="preserve">三、bim与数字孪生技术应用</w:t>
      </w:r>
    </w:p>
    <w:p>
      <w:pPr>
        <w:spacing w:before="75" w:after="0"/>
      </w:pPr>
      <w:r>
        <w:rPr/>
        <w:t xml:space="preserve">第二节 建设施工与交付模式</w:t>
      </w:r>
    </w:p>
    <w:p>
      <w:pPr>
        <w:spacing w:before="75" w:after="0"/>
      </w:pPr>
      <w:r>
        <w:rPr/>
        <w:t xml:space="preserve">一、epc总包与联合体投标为主</w:t>
      </w:r>
    </w:p>
    <w:p>
      <w:pPr>
        <w:spacing w:before="75" w:after="0"/>
      </w:pPr>
      <w:r>
        <w:rPr/>
        <w:t xml:space="preserve">二、工期压缩与并行施工挑战</w:t>
      </w:r>
    </w:p>
    <w:p>
      <w:pPr>
        <w:spacing w:before="75" w:after="0"/>
      </w:pPr>
      <w:r>
        <w:rPr/>
        <w:t xml:space="preserve">三、质量验收与能效测试标准</w:t>
      </w:r>
    </w:p>
    <w:p>
      <w:pPr>
        <w:spacing w:before="75" w:after="0"/>
      </w:pPr>
      <w:r>
        <w:rPr/>
        <w:t xml:space="preserve">第三节 运维管理与服务创新</w:t>
      </w:r>
    </w:p>
    <w:p>
      <w:pPr>
        <w:spacing w:before="75" w:after="0"/>
      </w:pPr>
      <w:r>
        <w:rPr/>
        <w:t xml:space="preserve">一、aiops智能运维普及</w:t>
      </w:r>
    </w:p>
    <w:p>
      <w:pPr>
        <w:spacing w:before="75" w:after="0"/>
      </w:pPr>
      <w:r>
        <w:rPr/>
        <w:t xml:space="preserve">二、远程监控与故障预测</w:t>
      </w:r>
    </w:p>
    <w:p>
      <w:pPr>
        <w:spacing w:before="75" w:after="0"/>
      </w:pPr>
      <w:r>
        <w:rPr/>
        <w:t xml:space="preserve">三、算力服务sla精细化管理</w:t>
      </w:r>
    </w:p>
    <w:p>
      <w:pPr>
        <w:spacing w:before="75" w:after="0"/>
      </w:pPr>
      <w:r>
        <w:rPr>
          <w:b w:val="1"/>
          <w:bCs w:val="1"/>
        </w:rPr>
        <w:t xml:space="preserve">第七章 算力工程行业下游应用场景分析</w:t>
      </w:r>
    </w:p>
    <w:p>
      <w:pPr>
        <w:spacing w:before="75" w:after="0"/>
      </w:pPr>
      <w:r>
        <w:rPr/>
        <w:t xml:space="preserve">第一节 人工智能大模型训练与推理</w:t>
      </w:r>
    </w:p>
    <w:p>
      <w:pPr>
        <w:spacing w:before="75" w:after="0"/>
      </w:pPr>
      <w:r>
        <w:rPr/>
        <w:t xml:space="preserve">一、千亿参数模型算力需求激增</w:t>
      </w:r>
    </w:p>
    <w:p>
      <w:pPr>
        <w:spacing w:before="75" w:after="0"/>
      </w:pPr>
      <w:r>
        <w:rPr/>
        <w:t xml:space="preserve">二、推理端边缘算力部署加速</w:t>
      </w:r>
    </w:p>
    <w:p>
      <w:pPr>
        <w:spacing w:before="75" w:after="0"/>
      </w:pPr>
      <w:r>
        <w:rPr/>
        <w:t xml:space="preserve">三、多模态模型推动异构算力融合</w:t>
      </w:r>
    </w:p>
    <w:p>
      <w:pPr>
        <w:spacing w:before="75" w:after="0"/>
      </w:pPr>
      <w:r>
        <w:rPr/>
        <w:t xml:space="preserve">第二节 科学计算与工程仿真</w:t>
      </w:r>
    </w:p>
    <w:p>
      <w:pPr>
        <w:spacing w:before="75" w:after="0"/>
      </w:pPr>
      <w:r>
        <w:rPr/>
        <w:t xml:space="preserve">一、气候模拟与生物医药计算</w:t>
      </w:r>
    </w:p>
    <w:p>
      <w:pPr>
        <w:spacing w:before="75" w:after="0"/>
      </w:pPr>
      <w:r>
        <w:rPr/>
        <w:t xml:space="preserve">二、cae与数字孪生工业应用</w:t>
      </w:r>
    </w:p>
    <w:p>
      <w:pPr>
        <w:spacing w:before="75" w:after="0"/>
      </w:pPr>
      <w:r>
        <w:rPr/>
        <w:t xml:space="preserve">三、高校与科研机构算力共享</w:t>
      </w:r>
    </w:p>
    <w:p>
      <w:pPr>
        <w:spacing w:before="75" w:after="0"/>
      </w:pPr>
      <w:r>
        <w:rPr/>
        <w:t xml:space="preserve">第三节 行业数字化转型需求</w:t>
      </w:r>
    </w:p>
    <w:p>
      <w:pPr>
        <w:spacing w:before="75" w:after="0"/>
      </w:pPr>
      <w:r>
        <w:rPr/>
        <w:t xml:space="preserve">一、金融高频交易低延时算力</w:t>
      </w:r>
    </w:p>
    <w:p>
      <w:pPr>
        <w:spacing w:before="75" w:after="0"/>
      </w:pPr>
      <w:r>
        <w:rPr/>
        <w:t xml:space="preserve">二、自动驾驶仿真测试平台</w:t>
      </w:r>
    </w:p>
    <w:p>
      <w:pPr>
        <w:spacing w:before="75" w:after="0"/>
      </w:pPr>
      <w:r>
        <w:rPr/>
        <w:t xml:space="preserve">三、智慧城市实时分析处理</w:t>
      </w:r>
    </w:p>
    <w:p>
      <w:pPr>
        <w:spacing w:before="75" w:after="0"/>
      </w:pPr>
      <w:r>
        <w:rPr>
          <w:b w:val="1"/>
          <w:bCs w:val="1"/>
        </w:rPr>
        <w:t xml:space="preserve">第八章 算力工程行业商业模式与盈利结构</w:t>
      </w:r>
    </w:p>
    <w:p>
      <w:pPr>
        <w:spacing w:before="75" w:after="0"/>
      </w:pPr>
      <w:r>
        <w:rPr/>
        <w:t xml:space="preserve">第一节 收入来源构成变化</w:t>
      </w:r>
    </w:p>
    <w:p>
      <w:pPr>
        <w:spacing w:before="75" w:after="0"/>
      </w:pPr>
      <w:r>
        <w:rPr/>
        <w:t xml:space="preserve">一、算力租赁为主导收入模式</w:t>
      </w:r>
    </w:p>
    <w:p>
      <w:pPr>
        <w:spacing w:before="75" w:after="0"/>
      </w:pPr>
      <w:r>
        <w:rPr/>
        <w:t xml:space="preserve">二、增值服务(安全、备份、调优)占比提升</w:t>
      </w:r>
    </w:p>
    <w:p>
      <w:pPr>
        <w:spacing w:before="75" w:after="0"/>
      </w:pPr>
      <w:r>
        <w:rPr/>
        <w:t xml:space="preserve">三、政府购买公共服务稳定现金流</w:t>
      </w:r>
    </w:p>
    <w:p>
      <w:pPr>
        <w:spacing w:before="75" w:after="0"/>
      </w:pPr>
      <w:r>
        <w:rPr/>
        <w:t xml:space="preserve">第二节 成本结构与效率优化</w:t>
      </w:r>
    </w:p>
    <w:p>
      <w:pPr>
        <w:spacing w:before="75" w:after="0"/>
      </w:pPr>
      <w:r>
        <w:rPr/>
        <w:t xml:space="preserve">一、电力成本占运营支出超60%</w:t>
      </w:r>
    </w:p>
    <w:p>
      <w:pPr>
        <w:spacing w:before="75" w:after="0"/>
      </w:pPr>
      <w:r>
        <w:rPr/>
        <w:t xml:space="preserve">二、芯片采购周期影响capex</w:t>
      </w:r>
    </w:p>
    <w:p>
      <w:pPr>
        <w:spacing w:before="75" w:after="0"/>
      </w:pPr>
      <w:r>
        <w:rPr/>
        <w:t xml:space="preserve">三、规模化降低单位算力成本</w:t>
      </w:r>
    </w:p>
    <w:p>
      <w:pPr>
        <w:spacing w:before="75" w:after="0"/>
      </w:pPr>
      <w:r>
        <w:rPr/>
        <w:t xml:space="preserve">第三节 盈利能力影响因素</w:t>
      </w:r>
    </w:p>
    <w:p>
      <w:pPr>
        <w:spacing w:before="75" w:after="0"/>
      </w:pPr>
      <w:r>
        <w:rPr/>
        <w:t xml:space="preserve">一、上架率与利用率决定roi</w:t>
      </w:r>
    </w:p>
    <w:p>
      <w:pPr>
        <w:spacing w:before="75" w:after="0"/>
      </w:pPr>
      <w:r>
        <w:rPr/>
        <w:t xml:space="preserve">二、电价波动敏感性高</w:t>
      </w:r>
    </w:p>
    <w:p>
      <w:pPr>
        <w:spacing w:before="75" w:after="0"/>
      </w:pPr>
      <w:r>
        <w:rPr/>
        <w:t xml:space="preserve">三、技术迭代导致资产贬值风险</w:t>
      </w:r>
    </w:p>
    <w:p>
      <w:pPr>
        <w:spacing w:before="75" w:after="0"/>
      </w:pPr>
      <w:r>
        <w:rPr>
          <w:b w:val="1"/>
          <w:bCs w:val="1"/>
        </w:rPr>
        <w:t xml:space="preserve">第九章 算力工程行业竞争格局分析</w:t>
      </w:r>
    </w:p>
    <w:p>
      <w:pPr>
        <w:spacing w:before="75" w:after="0"/>
      </w:pPr>
      <w:r>
        <w:rPr/>
        <w:t xml:space="preserve">第一节 国有企业竞争态势</w:t>
      </w:r>
    </w:p>
    <w:p>
      <w:pPr>
        <w:spacing w:before="75" w:after="0"/>
      </w:pPr>
      <w:r>
        <w:rPr/>
        <w:t xml:space="preserve">一、中国电信“息壤”算力调度平台</w:t>
      </w:r>
    </w:p>
    <w:p>
      <w:pPr>
        <w:spacing w:before="75" w:after="0"/>
      </w:pPr>
      <w:r>
        <w:rPr/>
        <w:t xml:space="preserve">二、中国移动“n节点”全国布局</w:t>
      </w:r>
    </w:p>
    <w:p>
      <w:pPr>
        <w:spacing w:before="75" w:after="0"/>
      </w:pPr>
      <w:r>
        <w:rPr/>
        <w:t xml:space="preserve">三、中国联通“联通云”智算中心</w:t>
      </w:r>
    </w:p>
    <w:p>
      <w:pPr>
        <w:spacing w:before="75" w:after="0"/>
      </w:pPr>
      <w:r>
        <w:rPr/>
        <w:t xml:space="preserve">第二节 互联网与科技巨头布局</w:t>
      </w:r>
    </w:p>
    <w:p>
      <w:pPr>
        <w:spacing w:before="75" w:after="0"/>
      </w:pPr>
      <w:r>
        <w:rPr/>
        <w:t xml:space="preserve">一、华为昇腾全栈算力生态</w:t>
      </w:r>
    </w:p>
    <w:p>
      <w:pPr>
        <w:spacing w:before="75" w:after="0"/>
      </w:pPr>
      <w:r>
        <w:rPr/>
        <w:t xml:space="preserve">二、阿里云通义大模型算力底座</w:t>
      </w:r>
    </w:p>
    <w:p>
      <w:pPr>
        <w:spacing w:before="75" w:after="0"/>
      </w:pPr>
      <w:r>
        <w:rPr/>
        <w:t xml:space="preserve">三、腾讯混元ai算力集群</w:t>
      </w:r>
    </w:p>
    <w:p>
      <w:pPr>
        <w:spacing w:before="75" w:after="0"/>
      </w:pPr>
      <w:r>
        <w:rPr/>
        <w:t xml:space="preserve">第三节 专业服务商与新兴力量</w:t>
      </w:r>
    </w:p>
    <w:p>
      <w:pPr>
        <w:spacing w:before="75" w:after="0"/>
      </w:pPr>
      <w:r>
        <w:rPr/>
        <w:t xml:space="preserve">一、中科曙光、浪潮信息硬件集成优势</w:t>
      </w:r>
    </w:p>
    <w:p>
      <w:pPr>
        <w:spacing w:before="75" w:after="0"/>
      </w:pPr>
      <w:r>
        <w:rPr/>
        <w:t xml:space="preserve">二、寒武纪、壁仞等芯片企业延伸服务</w:t>
      </w:r>
    </w:p>
    <w:p>
      <w:pPr>
        <w:spacing w:before="75" w:after="0"/>
      </w:pPr>
      <w:r>
        <w:rPr/>
        <w:t xml:space="preserve">三、地方平台公司参与区域算力建设</w:t>
      </w:r>
    </w:p>
    <w:p>
      <w:pPr>
        <w:spacing w:before="75" w:after="0"/>
      </w:pPr>
      <w:r>
        <w:rPr>
          <w:b w:val="1"/>
          <w:bCs w:val="1"/>
        </w:rPr>
        <w:t xml:space="preserve">第十章 算力工程行业swot与pest综合分析</w:t>
      </w:r>
    </w:p>
    <w:p>
      <w:pPr>
        <w:spacing w:before="75" w:after="0"/>
      </w:pPr>
      <w:r>
        <w:rPr/>
        <w:t xml:space="preserve">第一节 swot模型分析</w:t>
      </w:r>
    </w:p>
    <w:p>
      <w:pPr>
        <w:spacing w:before="75" w:after="0"/>
      </w:pPr>
      <w:r>
        <w:rPr/>
        <w:t xml:space="preserve">一、优势：国家意志推动、市场需求旺盛</w:t>
      </w:r>
    </w:p>
    <w:p>
      <w:pPr>
        <w:spacing w:before="75" w:after="0"/>
      </w:pPr>
      <w:r>
        <w:rPr/>
        <w:t xml:space="preserve">二、劣势：高端芯片受限、绿电配套不足</w:t>
      </w:r>
    </w:p>
    <w:p>
      <w:pPr>
        <w:spacing w:before="75" w:after="0"/>
      </w:pPr>
      <w:r>
        <w:rPr/>
        <w:t xml:space="preserve">三、机会：ai革命催生新算力范式</w:t>
      </w:r>
    </w:p>
    <w:p>
      <w:pPr>
        <w:spacing w:before="75" w:after="0"/>
      </w:pPr>
      <w:r>
        <w:rPr/>
        <w:t xml:space="preserve">四、威胁：全球算力竞争加剧、能效约束趋严</w:t>
      </w:r>
    </w:p>
    <w:p>
      <w:pPr>
        <w:spacing w:before="75" w:after="0"/>
      </w:pPr>
      <w:r>
        <w:rPr/>
        <w:t xml:space="preserve">第二节 pest宏观环境分析</w:t>
      </w:r>
    </w:p>
    <w:p>
      <w:pPr>
        <w:spacing w:before="75" w:after="0"/>
      </w:pPr>
      <w:r>
        <w:rPr/>
        <w:t xml:space="preserve">一、政治：“数字中国”战略深化实施</w:t>
      </w:r>
    </w:p>
    <w:p>
      <w:pPr>
        <w:spacing w:before="75" w:after="0"/>
      </w:pPr>
      <w:r>
        <w:rPr/>
        <w:t xml:space="preserve">二、经济：数字经济gdp占比持续提升</w:t>
      </w:r>
    </w:p>
    <w:p>
      <w:pPr>
        <w:spacing w:before="75" w:after="0"/>
      </w:pPr>
      <w:r>
        <w:rPr/>
        <w:t xml:space="preserve">三、社会：ai普惠化提升算力依赖</w:t>
      </w:r>
    </w:p>
    <w:p>
      <w:pPr>
        <w:spacing w:before="75" w:after="0"/>
      </w:pPr>
      <w:r>
        <w:rPr/>
        <w:t xml:space="preserve">四、技术：chiplet与光计算孕育变革</w:t>
      </w:r>
    </w:p>
    <w:p>
      <w:pPr>
        <w:spacing w:before="75" w:after="0"/>
      </w:pPr>
      <w:r>
        <w:rPr/>
        <w:t xml:space="preserve">第三节 行业生命周期阶段判断</w:t>
      </w:r>
    </w:p>
    <w:p>
      <w:pPr>
        <w:spacing w:before="75" w:after="0"/>
      </w:pPr>
      <w:r>
        <w:rPr/>
        <w:t xml:space="preserve">一、整体处于高速成长期初期</w:t>
      </w:r>
    </w:p>
    <w:p>
      <w:pPr>
        <w:spacing w:before="75" w:after="0"/>
      </w:pPr>
      <w:r>
        <w:rPr/>
        <w:t xml:space="preserve">二、通用算力趋于饱和而智能算力紧缺</w:t>
      </w:r>
    </w:p>
    <w:p>
      <w:pPr>
        <w:spacing w:before="75" w:after="0"/>
      </w:pPr>
      <w:r>
        <w:rPr/>
        <w:t xml:space="preserve">三、从硬件堆砌向软件定义算力演进</w:t>
      </w:r>
    </w:p>
    <w:p>
      <w:pPr>
        <w:spacing w:before="75" w:after="0"/>
      </w:pPr>
      <w:r>
        <w:rPr>
          <w:b w:val="1"/>
          <w:bCs w:val="1"/>
        </w:rPr>
        <w:t xml:space="preserve">第十一章 算力工程技术演进与创新路径</w:t>
      </w:r>
    </w:p>
    <w:p>
      <w:pPr>
        <w:spacing w:before="75" w:after="0"/>
      </w:pPr>
      <w:r>
        <w:rPr/>
        <w:t xml:space="preserve">第一节 异构融合计算架构</w:t>
      </w:r>
    </w:p>
    <w:p>
      <w:pPr>
        <w:spacing w:before="75" w:after="0"/>
      </w:pPr>
      <w:r>
        <w:rPr/>
        <w:t xml:space="preserve">一、cpu+gpu+npu协同调度</w:t>
      </w:r>
    </w:p>
    <w:p>
      <w:pPr>
        <w:spacing w:before="75" w:after="0"/>
      </w:pPr>
      <w:r>
        <w:rPr/>
        <w:t xml:space="preserve">二、存算一体与近内存计算探索</w:t>
      </w:r>
    </w:p>
    <w:p>
      <w:pPr>
        <w:spacing w:before="75" w:after="0"/>
      </w:pPr>
      <w:r>
        <w:rPr/>
        <w:t xml:space="preserve">三、量子-经典混合算力试验</w:t>
      </w:r>
    </w:p>
    <w:p>
      <w:pPr>
        <w:spacing w:before="75" w:after="0"/>
      </w:pPr>
      <w:r>
        <w:rPr/>
        <w:t xml:space="preserve">第二节 绿色低碳技术突破</w:t>
      </w:r>
    </w:p>
    <w:p>
      <w:pPr>
        <w:spacing w:before="75" w:after="0"/>
      </w:pPr>
      <w:r>
        <w:rPr/>
        <w:t xml:space="preserve">一、液冷覆盖率超50%目标</w:t>
      </w:r>
    </w:p>
    <w:p>
      <w:pPr>
        <w:spacing w:before="75" w:after="0"/>
      </w:pPr>
      <w:r>
        <w:rPr/>
        <w:t xml:space="preserve">二、余热回收与能源梯级利用</w:t>
      </w:r>
    </w:p>
    <w:p>
      <w:pPr>
        <w:spacing w:before="75" w:after="0"/>
      </w:pPr>
      <w:r>
        <w:rPr/>
        <w:t xml:space="preserve">三、风光储一体化供能模式</w:t>
      </w:r>
    </w:p>
    <w:p>
      <w:pPr>
        <w:spacing w:before="75" w:after="0"/>
      </w:pPr>
      <w:r>
        <w:rPr/>
        <w:t xml:space="preserve">第三节 智能化与自动化运维</w:t>
      </w:r>
    </w:p>
    <w:p>
      <w:pPr>
        <w:spacing w:before="75" w:after="0"/>
      </w:pPr>
      <w:r>
        <w:rPr/>
        <w:t xml:space="preserve">一、数字孪生全生命周期管理</w:t>
      </w:r>
    </w:p>
    <w:p>
      <w:pPr>
        <w:spacing w:before="75" w:after="0"/>
      </w:pPr>
      <w:r>
        <w:rPr/>
        <w:t xml:space="preserve">二、ai自动调参与故障自愈</w:t>
      </w:r>
    </w:p>
    <w:p>
      <w:pPr>
        <w:spacing w:before="75" w:after="0"/>
      </w:pPr>
      <w:r>
        <w:rPr/>
        <w:t xml:space="preserve">三、算力碳排实时监测系统</w:t>
      </w:r>
    </w:p>
    <w:p>
      <w:pPr>
        <w:spacing w:before="75" w:after="0"/>
      </w:pPr>
      <w:r>
        <w:rPr>
          <w:b w:val="1"/>
          <w:bCs w:val="1"/>
        </w:rPr>
        <w:t xml:space="preserve">第十二章 算力工程行业区域发展格局</w:t>
      </w:r>
    </w:p>
    <w:p>
      <w:pPr>
        <w:spacing w:before="75" w:after="0"/>
      </w:pPr>
      <w:r>
        <w:rPr/>
        <w:t xml:space="preserve">第一节 京津冀算力枢纽</w:t>
      </w:r>
    </w:p>
    <w:p>
      <w:pPr>
        <w:spacing w:before="75" w:after="0"/>
      </w:pPr>
      <w:r>
        <w:rPr/>
        <w:t xml:space="preserve">一、北京聚焦ai研发与调度</w:t>
      </w:r>
    </w:p>
    <w:p>
      <w:pPr>
        <w:spacing w:before="75" w:after="0"/>
      </w:pPr>
      <w:r>
        <w:rPr/>
        <w:t xml:space="preserve">二、张家口、乌兰察布承接算力外溢</w:t>
      </w:r>
    </w:p>
    <w:p>
      <w:pPr>
        <w:spacing w:before="75" w:after="0"/>
      </w:pPr>
      <w:r>
        <w:rPr/>
        <w:t xml:space="preserve">三、雄安新区新型算力基础设施</w:t>
      </w:r>
    </w:p>
    <w:p>
      <w:pPr>
        <w:spacing w:before="75" w:after="0"/>
      </w:pPr>
      <w:r>
        <w:rPr/>
        <w:t xml:space="preserve">第二节 长三角算力高地</w:t>
      </w:r>
    </w:p>
    <w:p>
      <w:pPr>
        <w:spacing w:before="75" w:after="0"/>
      </w:pPr>
      <w:r>
        <w:rPr/>
        <w:t xml:space="preserve">一、上海张江ai算力集群</w:t>
      </w:r>
    </w:p>
    <w:p>
      <w:pPr>
        <w:spacing w:before="75" w:after="0"/>
      </w:pPr>
      <w:r>
        <w:rPr/>
        <w:t xml:space="preserve">二、杭州、苏州产业应用驱动</w:t>
      </w:r>
    </w:p>
    <w:p>
      <w:pPr>
        <w:spacing w:before="75" w:after="0"/>
      </w:pPr>
      <w:r>
        <w:rPr/>
        <w:t xml:space="preserve">三、芜湖、韶关数据中心集群</w:t>
      </w:r>
    </w:p>
    <w:p>
      <w:pPr>
        <w:spacing w:before="75" w:after="0"/>
      </w:pPr>
      <w:r>
        <w:rPr/>
        <w:t xml:space="preserve">第三节 西部算力承载区</w:t>
      </w:r>
    </w:p>
    <w:p>
      <w:pPr>
        <w:spacing w:before="75" w:after="0"/>
      </w:pPr>
      <w:r>
        <w:rPr/>
        <w:t xml:space="preserve">一、宁夏中卫绿色数据中心</w:t>
      </w:r>
    </w:p>
    <w:p>
      <w:pPr>
        <w:spacing w:before="75" w:after="0"/>
      </w:pPr>
      <w:r>
        <w:rPr/>
        <w:t xml:space="preserve">二、甘肃庆阳低延时网络优化</w:t>
      </w:r>
    </w:p>
    <w:p>
      <w:pPr>
        <w:spacing w:before="75" w:after="0"/>
      </w:pPr>
      <w:r>
        <w:rPr/>
        <w:t xml:space="preserve">三、成渝双城经济圈算力协同</w:t>
      </w:r>
    </w:p>
    <w:p>
      <w:pPr>
        <w:spacing w:before="75" w:after="0"/>
      </w:pPr>
      <w:r>
        <w:rPr>
          <w:b w:val="1"/>
          <w:bCs w:val="1"/>
        </w:rPr>
        <w:t xml:space="preserve">第十三章 算力工程行业国际化合作路径</w:t>
      </w:r>
    </w:p>
    <w:p>
      <w:pPr>
        <w:spacing w:before="75" w:after="0"/>
      </w:pPr>
      <w:r>
        <w:rPr/>
        <w:t xml:space="preserve">第一节 技术标准与互操作性</w:t>
      </w:r>
    </w:p>
    <w:p>
      <w:pPr>
        <w:spacing w:before="75" w:after="0"/>
      </w:pPr>
      <w:r>
        <w:rPr/>
        <w:t xml:space="preserve">一、参与国际算力网络协议制定</w:t>
      </w:r>
    </w:p>
    <w:p>
      <w:pPr>
        <w:spacing w:before="75" w:after="0"/>
      </w:pPr>
      <w:r>
        <w:rPr/>
        <w:t xml:space="preserve">二、开源社区贡献与生态共建</w:t>
      </w:r>
    </w:p>
    <w:p>
      <w:pPr>
        <w:spacing w:before="75" w:after="0"/>
      </w:pPr>
      <w:r>
        <w:rPr/>
        <w:t xml:space="preserve">三、跨境算力调度安全机制</w:t>
      </w:r>
    </w:p>
    <w:p>
      <w:pPr>
        <w:spacing w:before="75" w:after="0"/>
      </w:pPr>
      <w:r>
        <w:rPr/>
        <w:t xml:space="preserve">第二节 海外算力节点布局</w:t>
      </w:r>
    </w:p>
    <w:p>
      <w:pPr>
        <w:spacing w:before="75" w:after="0"/>
      </w:pPr>
      <w:r>
        <w:rPr/>
        <w:t xml:space="preserve">一、一带一路沿线数据中心建设</w:t>
      </w:r>
    </w:p>
    <w:p>
      <w:pPr>
        <w:spacing w:before="75" w:after="0"/>
      </w:pPr>
      <w:r>
        <w:rPr/>
        <w:t xml:space="preserve">二、东南亚与中东区域算力服务</w:t>
      </w:r>
    </w:p>
    <w:p>
      <w:pPr>
        <w:spacing w:before="75" w:after="0"/>
      </w:pPr>
      <w:r>
        <w:rPr/>
        <w:t xml:space="preserve">三、欧美合规本地化运营</w:t>
      </w:r>
    </w:p>
    <w:p>
      <w:pPr>
        <w:spacing w:before="75" w:after="0"/>
      </w:pPr>
      <w:r>
        <w:rPr/>
        <w:t xml:space="preserve">第三节 全球供应链安全</w:t>
      </w:r>
    </w:p>
    <w:p>
      <w:pPr>
        <w:spacing w:before="75" w:after="0"/>
      </w:pPr>
      <w:r>
        <w:rPr/>
        <w:t xml:space="preserve">一、多元化芯片采购策略</w:t>
      </w:r>
    </w:p>
    <w:p>
      <w:pPr>
        <w:spacing w:before="75" w:after="0"/>
      </w:pPr>
      <w:r>
        <w:rPr/>
        <w:t xml:space="preserve">二、关键设备备件全球仓储</w:t>
      </w:r>
    </w:p>
    <w:p>
      <w:pPr>
        <w:spacing w:before="75" w:after="0"/>
      </w:pPr>
      <w:r>
        <w:rPr/>
        <w:t xml:space="preserve">三、技术脱钩风险应对预案</w:t>
      </w:r>
    </w:p>
    <w:p>
      <w:pPr>
        <w:spacing w:before="75" w:after="0"/>
      </w:pPr>
      <w:r>
        <w:rPr>
          <w:b w:val="1"/>
          <w:bCs w:val="1"/>
        </w:rPr>
        <w:t xml:space="preserve">第十四章 2026-2031年中国算力工程行业发展趋势预测</w:t>
      </w:r>
    </w:p>
    <w:p>
      <w:pPr>
        <w:spacing w:before="75" w:after="0"/>
      </w:pPr>
      <w:r>
        <w:rPr/>
        <w:t xml:space="preserve">第一节 市场规模与结构预测</w:t>
      </w:r>
    </w:p>
    <w:p>
      <w:pPr>
        <w:spacing w:before="75" w:after="0"/>
      </w:pPr>
      <w:r>
        <w:rPr/>
        <w:t xml:space="preserve">一、智能算力占比超60%</w:t>
      </w:r>
    </w:p>
    <w:p>
      <w:pPr>
        <w:spacing w:before="75" w:after="0"/>
      </w:pPr>
      <w:r>
        <w:rPr/>
        <w:t xml:space="preserve">二、边缘算力年复合增速领先</w:t>
      </w:r>
    </w:p>
    <w:p>
      <w:pPr>
        <w:spacing w:before="75" w:after="0"/>
      </w:pPr>
      <w:r>
        <w:rPr/>
        <w:t xml:space="preserve">三、算力服务市场规模破万亿</w:t>
      </w:r>
    </w:p>
    <w:p>
      <w:pPr>
        <w:spacing w:before="75" w:after="0"/>
      </w:pPr>
      <w:r>
        <w:rPr/>
        <w:t xml:space="preserve">第二节 技术演进方向预测</w:t>
      </w:r>
    </w:p>
    <w:p>
      <w:pPr>
        <w:spacing w:before="75" w:after="0"/>
      </w:pPr>
      <w:r>
        <w:rPr/>
        <w:t xml:space="preserve">一、万卡级ai集群常态化</w:t>
      </w:r>
    </w:p>
    <w:p>
      <w:pPr>
        <w:spacing w:before="75" w:after="0"/>
      </w:pPr>
      <w:r>
        <w:rPr/>
        <w:t xml:space="preserve">二、光互联替代铜缆成为主流</w:t>
      </w:r>
    </w:p>
    <w:p>
      <w:pPr>
        <w:spacing w:before="75" w:after="0"/>
      </w:pPr>
      <w:r>
        <w:rPr/>
        <w:t xml:space="preserve">三、算力原生操作系统出现</w:t>
      </w:r>
    </w:p>
    <w:p>
      <w:pPr>
        <w:spacing w:before="75" w:after="0"/>
      </w:pPr>
      <w:r>
        <w:rPr/>
        <w:t xml:space="preserve">第三节 产业组织形态预测</w:t>
      </w:r>
    </w:p>
    <w:p>
      <w:pPr>
        <w:spacing w:before="75" w:after="0"/>
      </w:pPr>
      <w:r>
        <w:rPr/>
        <w:t xml:space="preserve">一、算力运营商与云厂商融合</w:t>
      </w:r>
    </w:p>
    <w:p>
      <w:pPr>
        <w:spacing w:before="75" w:after="0"/>
      </w:pPr>
      <w:r>
        <w:rPr/>
        <w:t xml:space="preserve">二、垂直行业算力平台崛起</w:t>
      </w:r>
    </w:p>
    <w:p>
      <w:pPr>
        <w:spacing w:before="75" w:after="0"/>
      </w:pPr>
      <w:r>
        <w:rPr/>
        <w:t xml:space="preserve">三、算力银行与期货交易试点</w:t>
      </w:r>
    </w:p>
    <w:p>
      <w:pPr>
        <w:spacing w:before="75" w:after="0"/>
      </w:pPr>
      <w:r>
        <w:rPr>
          <w:b w:val="1"/>
          <w:bCs w:val="1"/>
        </w:rPr>
        <w:t xml:space="preserve">第十五章 2026-2031年算力工程行业投资机会与战略建议</w:t>
      </w:r>
    </w:p>
    <w:p>
      <w:pPr>
        <w:spacing w:before="75" w:after="0"/>
      </w:pPr>
      <w:r>
        <w:rPr/>
        <w:t xml:space="preserve">第一节 重点细分赛道投资价值</w:t>
      </w:r>
    </w:p>
    <w:p>
      <w:pPr>
        <w:spacing w:before="75" w:after="0"/>
      </w:pPr>
      <w:r>
        <w:rPr/>
        <w:t xml:space="preserve">一、智能算力中心建设</w:t>
      </w:r>
    </w:p>
    <w:p>
      <w:pPr>
        <w:spacing w:before="75" w:after="0"/>
      </w:pPr>
      <w:r>
        <w:rPr/>
        <w:t xml:space="preserve">二、液冷与绿色供能系统</w:t>
      </w:r>
    </w:p>
    <w:p>
      <w:pPr>
        <w:spacing w:before="75" w:after="0"/>
      </w:pPr>
      <w:r>
        <w:rPr/>
        <w:t xml:space="preserve">三、算力调度与交易平台</w:t>
      </w:r>
    </w:p>
    <w:p>
      <w:pPr>
        <w:spacing w:before="75" w:after="0"/>
      </w:pPr>
      <w:r>
        <w:rPr/>
        <w:t xml:space="preserve">第二节 区域与产业链布局策略</w:t>
      </w:r>
    </w:p>
    <w:p>
      <w:pPr>
        <w:spacing w:before="75" w:after="0"/>
      </w:pPr>
      <w:r>
        <w:rPr/>
        <w:t xml:space="preserve">一、优先布局国家枢纽节点</w:t>
      </w:r>
    </w:p>
    <w:p>
      <w:pPr>
        <w:spacing w:before="75" w:after="0"/>
      </w:pPr>
      <w:r>
        <w:rPr/>
        <w:t xml:space="preserve">二、向上游芯片或软件延伸</w:t>
      </w:r>
    </w:p>
    <w:p>
      <w:pPr>
        <w:spacing w:before="75" w:after="0"/>
      </w:pPr>
      <w:r>
        <w:rPr/>
        <w:t xml:space="preserve">三、向下游行业解决方案拓展</w:t>
      </w:r>
    </w:p>
    <w:p>
      <w:pPr>
        <w:spacing w:before="75" w:after="0"/>
      </w:pPr>
      <w:r>
        <w:rPr/>
        <w:t xml:space="preserve">第三节 风险防控与可持续发展</w:t>
      </w:r>
    </w:p>
    <w:p>
      <w:pPr>
        <w:spacing w:before="75" w:after="0"/>
      </w:pPr>
      <w:r>
        <w:rPr/>
        <w:t xml:space="preserve">一、规避技术路线选择风险</w:t>
      </w:r>
    </w:p>
    <w:p>
      <w:pPr>
        <w:spacing w:before="75" w:after="0"/>
      </w:pPr>
      <w:r>
        <w:rPr/>
        <w:t xml:space="preserve">二、构建弹性电力保障体系</w:t>
      </w:r>
    </w:p>
    <w:p>
      <w:pPr>
        <w:spacing w:before="75" w:after="0"/>
      </w:pPr>
      <w:r>
        <w:rPr/>
        <w:t xml:space="preserve">三、强化esg与碳资产管理</w:t>
      </w:r>
    </w:p>
    <w:p>
      <w:pPr>
        <w:spacing w:before="75" w:after="0"/>
      </w:pPr>
      <w:r>
        <w:rPr>
          <w:b w:val="1"/>
          <w:bCs w:val="1"/>
        </w:rPr>
        <w:t xml:space="preserve">图表目录</w:t>
      </w:r>
    </w:p>
    <w:p>
      <w:pPr>
        <w:spacing w:before="75" w:after="0"/>
      </w:pPr>
      <w:r>
        <w:rPr/>
        <w:t xml:space="preserve">图表：2023-2025年北美智能算力占比变化</w:t>
      </w:r>
    </w:p>
    <w:p>
      <w:pPr>
        <w:spacing w:before="75" w:after="0"/>
      </w:pPr>
      <w:r>
        <w:rPr/>
        <w:t xml:space="preserve">图表：2023-2025年欧洲超算中心pue水平</w:t>
      </w:r>
    </w:p>
    <w:p>
      <w:pPr>
        <w:spacing w:before="75" w:after="0"/>
      </w:pPr>
      <w:r>
        <w:rPr/>
        <w:t xml:space="preserve">图表：2023-2025年亚太地区算力上架率</w:t>
      </w:r>
    </w:p>
    <w:p>
      <w:pPr>
        <w:spacing w:before="75" w:after="0"/>
      </w:pPr>
      <w:r>
        <w:rPr/>
        <w:t xml:space="preserve">图表：2023-2025年全球ai芯片出货量</w:t>
      </w:r>
    </w:p>
    <w:p>
      <w:pPr>
        <w:spacing w:before="75" w:after="0"/>
      </w:pPr>
      <w:r>
        <w:rPr/>
        <w:t xml:space="preserve">图表：2023-2025年全球液冷渗透率</w:t>
      </w:r>
    </w:p>
    <w:p>
      <w:pPr>
        <w:spacing w:before="75" w:after="0"/>
      </w:pPr>
      <w:r>
        <w:rPr/>
        <w:t xml:space="preserve">图表：2023-2025年全球算力即服务市场规模</w:t>
      </w:r>
    </w:p>
    <w:p>
      <w:pPr>
        <w:spacing w:before="75" w:after="0"/>
      </w:pPr>
      <w:r>
        <w:rPr/>
        <w:t xml:space="preserve">图表：2023-2025年全球算力碳排放强度</w:t>
      </w:r>
    </w:p>
    <w:p>
      <w:pPr>
        <w:spacing w:before="75" w:after="0"/>
      </w:pPr>
      <w:r>
        <w:rPr/>
        <w:t xml:space="preserve">图表：2023-2025年全球算力调度平台数量</w:t>
      </w:r>
    </w:p>
    <w:p>
      <w:pPr>
        <w:spacing w:before="75" w:after="0"/>
      </w:pPr>
      <w:r>
        <w:rPr/>
        <w:t xml:space="preserve">图表：2023-2025年中国算力工程行业市场规模</w:t>
      </w:r>
    </w:p>
    <w:p>
      <w:pPr>
        <w:spacing w:before="75" w:after="0"/>
      </w:pPr>
      <w:r>
        <w:rPr/>
        <w:t xml:space="preserve">图表：2023-2025年中国智能算力占比</w:t>
      </w:r>
    </w:p>
    <w:p>
      <w:pPr>
        <w:spacing w:before="75" w:after="0"/>
      </w:pPr>
      <w:r>
        <w:rPr/>
        <w:t xml:space="preserve">图表：2023-2025年中国“东数西算”投资额</w:t>
      </w:r>
    </w:p>
    <w:p>
      <w:pPr>
        <w:spacing w:before="75" w:after="0"/>
      </w:pPr>
      <w:r>
        <w:rPr/>
        <w:t xml:space="preserve">图表：2023-2025年中国算力中心平均pue</w:t>
      </w:r>
    </w:p>
    <w:p>
      <w:pPr>
        <w:spacing w:before="75" w:after="0"/>
      </w:pPr>
      <w:r>
        <w:rPr/>
        <w:t xml:space="preserve">图表：2023-2025年中国ai大模型训练算力需求</w:t>
      </w:r>
    </w:p>
    <w:p>
      <w:pPr>
        <w:spacing w:before="75" w:after="0"/>
      </w:pPr>
      <w:r>
        <w:rPr/>
        <w:t xml:space="preserve">图表：2023-2025年中国边缘算力节点数量</w:t>
      </w:r>
    </w:p>
    <w:p>
      <w:pPr>
        <w:spacing w:before="75" w:after="0"/>
      </w:pPr>
      <w:r>
        <w:rPr/>
        <w:t xml:space="preserve">图表：2023-2025年中国算力上架率区域差异</w:t>
      </w:r>
    </w:p>
    <w:p>
      <w:pPr>
        <w:spacing w:before="75" w:after="0"/>
      </w:pPr>
      <w:r>
        <w:rPr/>
        <w:t xml:space="preserve">图表：2023-2025年中国算力租赁价格趋势</w:t>
      </w:r>
    </w:p>
    <w:p>
      <w:pPr>
        <w:spacing w:before="75" w:after="0"/>
      </w:pPr>
      <w:r>
        <w:rPr/>
        <w:t xml:space="preserve">图表：2023-2025年中国国产ai芯片适配率</w:t>
      </w:r>
    </w:p>
    <w:p>
      <w:pPr>
        <w:spacing w:before="75" w:after="0"/>
      </w:pPr>
      <w:r>
        <w:rPr/>
        <w:t xml:space="preserve">图表：2023-2025年中国液冷数据中心数量</w:t>
      </w:r>
    </w:p>
    <w:p>
      <w:pPr>
        <w:spacing w:before="75" w:after="0"/>
      </w:pPr>
      <w:r>
        <w:rPr/>
        <w:t xml:space="preserve">图表：2023-2025年中国算力行业集中度cr5</w:t>
      </w:r>
    </w:p>
    <w:p>
      <w:pPr>
        <w:spacing w:before="75" w:after="0"/>
      </w:pPr>
      <w:r>
        <w:rPr/>
        <w:t xml:space="preserve">图表：2023-2025年中国算力出口带宽利用率</w:t>
      </w:r>
    </w:p>
    <w:p>
      <w:pPr>
        <w:spacing w:before="75" w:after="0"/>
      </w:pPr>
      <w:r>
        <w:rPr/>
        <w:t xml:space="preserve">图表：2023-2025年中国算力碳足迹核算覆盖率</w:t>
      </w:r>
    </w:p>
    <w:p>
      <w:pPr>
        <w:spacing w:before="75" w:after="0"/>
      </w:pPr>
      <w:r>
        <w:rPr/>
        <w:t xml:space="preserve">图表：2023-2025年中国算力esg评级分布</w:t>
      </w:r>
    </w:p>
    <w:p>
      <w:pPr>
        <w:spacing w:before="75" w:after="0"/>
      </w:pPr>
      <w:r>
        <w:rPr/>
        <w:t xml:space="preserve">图表：2023-2025年中国算力人才供给量</w:t>
      </w:r>
    </w:p>
    <w:p>
      <w:pPr>
        <w:spacing w:before="75" w:after="0"/>
      </w:pPr>
      <w:r>
        <w:rPr/>
        <w:t xml:space="preserve">图表：2023-2025年中国算力专利申请量</w:t>
      </w:r>
    </w:p>
    <w:p>
      <w:pPr>
        <w:spacing w:before="75" w:after="0"/>
      </w:pPr>
      <w:r>
        <w:rPr/>
        <w:t xml:space="preserve">图表：2023-2025年中国算力国际合作项目数</w:t>
      </w:r>
    </w:p>
    <w:p>
      <w:pPr>
        <w:spacing w:before="75" w:after="0"/>
      </w:pPr>
      <w:r>
        <w:rPr/>
        <w:t xml:space="preserve">图表：2026-2031年中国算力工程市场规模预测</w:t>
      </w:r>
    </w:p>
    <w:p>
      <w:pPr>
        <w:spacing w:before="75" w:after="0"/>
      </w:pPr>
      <w:r>
        <w:rPr/>
        <w:t xml:space="preserve">图表：2026-2031年中国智能算力占比预测</w:t>
      </w:r>
    </w:p>
    <w:p>
      <w:pPr>
        <w:spacing w:before="75" w:after="0"/>
      </w:pPr>
      <w:r>
        <w:rPr/>
        <w:t xml:space="preserve">图表：2026-2031年中国边缘算力增速预测</w:t>
      </w:r>
    </w:p>
    <w:p>
      <w:pPr>
        <w:spacing w:before="75" w:after="0"/>
      </w:pPr>
      <w:r>
        <w:rPr/>
        <w:t xml:space="preserve">图表：2026-2031年中国算力pue下降预测</w:t>
      </w:r>
    </w:p>
    <w:p>
      <w:pPr>
        <w:spacing w:before="75" w:after="0"/>
      </w:pPr>
      <w:r>
        <w:rPr/>
        <w:t xml:space="preserve">图表：2026-2031年中国算力上架率提升预测</w:t>
      </w:r>
    </w:p>
    <w:p>
      <w:pPr>
        <w:spacing w:before="75" w:after="0"/>
      </w:pPr>
      <w:r>
        <w:rPr/>
        <w:t xml:space="preserve">图表：2026-2031年中国算力租赁价格走势预测</w:t>
      </w:r>
    </w:p>
    <w:p>
      <w:pPr>
        <w:spacing w:before="75" w:after="0"/>
      </w:pPr>
      <w:r>
        <w:rPr/>
        <w:t xml:space="preserve">图表：2026-2031年中国国产算力芯片市占率预测</w:t>
      </w:r>
    </w:p>
    <w:p>
      <w:pPr>
        <w:spacing w:before="75" w:after="0"/>
      </w:pPr>
      <w:r>
        <w:rPr/>
        <w:t xml:space="preserve">图表：2026-2031年中国液冷覆盖率预测</w:t>
      </w:r>
    </w:p>
    <w:p>
      <w:pPr>
        <w:spacing w:before="75" w:after="0"/>
      </w:pPr>
      <w:r>
        <w:rPr/>
        <w:t xml:space="preserve">图表：2026-2031年中国算力碳强度下降预测</w:t>
      </w:r>
    </w:p>
    <w:p>
      <w:pPr>
        <w:spacing w:before="75" w:after="0"/>
      </w:pPr>
      <w:r>
        <w:rPr/>
        <w:t xml:space="preserve">图表：2026-2031年中国算力调度平台普及率预测</w:t>
      </w:r>
    </w:p>
    <w:p>
      <w:pPr>
        <w:spacing w:before="75" w:after="0"/>
      </w:pPr>
      <w:r>
        <w:rPr/>
        <w:t xml:space="preserve">图表：2026-2031年全球ai算力功耗预测</w:t>
      </w:r>
    </w:p>
    <w:p>
      <w:pPr>
        <w:spacing w:before="75" w:after="0"/>
      </w:pPr>
      <w:r>
        <w:rPr/>
        <w:t xml:space="preserve">图表：2026-2031年“一带一路”算力合作预测</w:t>
      </w:r>
    </w:p>
    <w:p>
      <w:pPr>
        <w:spacing w:before="75" w:after="0"/>
      </w:pPr>
      <w:r>
        <w:rPr/>
        <w:t xml:space="preserve">图表：2026-2031年中国算力银行试点数量预测</w:t>
      </w:r>
    </w:p>
    <w:p>
      <w:pPr>
        <w:spacing w:before="75" w:after="0"/>
      </w:pPr>
      <w:r>
        <w:rPr/>
        <w:t xml:space="preserve">图表：2026-2031年中国算力期货交易规模预测</w:t>
      </w:r>
    </w:p>
    <w:p>
      <w:pPr>
        <w:spacing w:before="75" w:after="0"/>
      </w:pPr>
      <w:r>
        <w:rPr/>
        <w:t xml:space="preserve">图表：2026-2031年中国中小企业算力接入率预测</w:t>
      </w:r>
    </w:p>
    <w:p>
      <w:pPr>
        <w:spacing w:before="75" w:after="0"/>
      </w:pPr>
      <w:r>
        <w:rPr/>
        <w:t xml:space="preserve">图表：2026-2031年中国算力人才缺口预测</w:t>
      </w:r>
    </w:p>
    <w:p>
      <w:pPr>
        <w:spacing w:before="75" w:after="0"/>
      </w:pPr>
      <w:r>
        <w:rPr/>
        <w:t xml:space="preserve">图表：2026-2031年中国算力专利质量指数预测</w:t>
      </w:r>
    </w:p>
    <w:p>
      <w:pPr>
        <w:spacing w:before="75" w:after="0"/>
      </w:pPr>
      <w:r>
        <w:rPr/>
        <w:t xml:space="preserve">图表：2026-2031年中国算力安全事件下降预测</w:t>
      </w:r>
    </w:p>
    <w:p>
      <w:pPr>
        <w:spacing w:before="75" w:after="0"/>
      </w:pPr>
      <w:r>
        <w:rPr/>
        <w:t xml:space="preserve">图表：2026-2031年中国算力普惠投入预测</w:t>
      </w:r>
    </w:p>
    <w:p>
      <w:pPr>
        <w:spacing w:before="75" w:after="0"/>
      </w:pPr>
      <w:r>
        <w:rPr/>
        <w:t xml:space="preserve">图表：2026-2031年中国算力循环经济模式预测</w:t>
      </w:r>
    </w:p>
    <w:p>
      <w:pPr>
        <w:spacing w:before="75" w:after="0"/>
      </w:pPr>
      <w:r>
        <w:rPr/>
        <w:t xml:space="preserve">图表：2026-2031年中国算力伦理治理覆盖率预测</w:t>
      </w:r>
    </w:p>
    <w:p>
      <w:pPr>
        <w:spacing w:before="75" w:after="0"/>
      </w:pPr>
      <w:r>
        <w:rPr/>
        <w:t xml:space="preserve">图表：2026-2031年中国算力数字包容指数预测</w:t>
      </w:r>
    </w:p>
    <w:p>
      <w:pPr>
        <w:spacing w:before="75" w:after="0"/>
      </w:pPr>
      <w:r>
        <w:rPr/>
        <w:t xml:space="preserve">图表：2026-2031年中国算力绿色认证比例预测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2026-2031年中国算力工程行业深度全景调研及投资战略咨询报告</dc:title>
  <dc:description>2026-2031年中国算力工程行业深度全景调研及投资战略咨询报告</dc:description>
  <dc:subject>2026-2031年中国算力工程行业深度全景调研及投资战略咨询报告</dc:subject>
  <cp:keywords>研究报告</cp:keywords>
  <cp:category>研究报告</cp:category>
  <cp:lastModifiedBy>北京中道泰和信息咨询有限公司</cp:lastModifiedBy>
  <dcterms:created xsi:type="dcterms:W3CDTF">2026-03-31T11:13:03+08:00</dcterms:created>
  <dcterms:modified xsi:type="dcterms:W3CDTF">2026-03-31T11:13:03+08:00</dcterms:modified>
</cp:coreProperties>
</file>

<file path=docProps/custom.xml><?xml version="1.0" encoding="utf-8"?>
<Properties xmlns="http://schemas.openxmlformats.org/officeDocument/2006/custom-properties" xmlns:vt="http://schemas.openxmlformats.org/officeDocument/2006/docPropsVTypes"/>
</file>