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2026-2031年中国智能催收系统行业发展趋势及投资前景分析报告</w:t>
      </w:r>
    </w:p>
    <w:p>
      <w:pPr>
        <w:spacing w:after="150"/>
      </w:pPr>
      <w:r>
        <w:rPr>
          <w:b w:val="1"/>
          <w:bCs w:val="1"/>
        </w:rPr>
        <w:t xml:space="preserve">报告简介</w:t>
      </w:r>
    </w:p>
    <w:p>
      <w:pPr>
        <w:spacing w:after="150"/>
      </w:pPr>
      <w:r>
        <w:rPr/>
        <w:t xml:space="preserve">智能催收系统是金融科技与信贷管理深度融合的产物，是一种基于人工智能、大数据分析、自然语言处理及机器学习等前沿技术构建的自动化、智能化债务管理解决方案。该系统通过整合多维度数据资源，包括借款人信用记录、消费行为、社交网络信息及历史还款表现等，构建动态风险评估模型，精准识别逾期债务的潜在风险等级与回收概率。</w:t>
      </w:r>
    </w:p>
    <w:p>
      <w:pPr>
        <w:spacing w:after="150"/>
      </w:pPr>
      <w:r>
        <w:rPr/>
        <w:t xml:space="preserve">智能催收系统核心功能涵盖智能策略制定、自动化流程驱动及人机协同交互三大模块：在策略层面，系统能够根据债务类型、逾期阶段及借款人特征，自动生成差异化催收方案，实现资源的最优配置;在流程层面，通过预设规则引擎与AI算法，系统可自主完成从逾期提醒、进度跟踪到结果反馈的全周期管理，显著提升操作效率并降低人为误差;在交互层面，结合自然语言处理技术，系统支持多渠道(如短信、语音、APP推送)的智能沟通，能够模拟人类对话逻辑，理解借款人诉求并动态调整沟通策略，在保障合规性的同时提升还款意愿。</w:t>
      </w:r>
    </w:p>
    <w:p>
      <w:pPr>
        <w:spacing w:after="150"/>
      </w:pPr>
      <w:r>
        <w:rPr/>
        <w:t xml:space="preserve">智能催收系统通过实时监控与数据分析，可持续优化催收模型与策略库，形成“数据驱动-策略调整-效果反馈”的闭环机制，帮助金融机构在控制成本、规避合规风险的前提下，实现逾期债务回收率与客户体验的双重提升。其本质是传统催收模式的数字化升级，通过技术赋能将经验驱动转化为数据驱动，将标准化流程与个性化服务有机结合，既解决了人工催收覆盖范围有限、效率波动大等痛点，又通过智能风控手段强化了贷后管理的主动性与精准性，成为现代金融体系中不可或缺的智能化债务管理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催收系统行业的发展状况进行了深入透彻地分析，对我国行业市场情况、技术现状、供需形势作了详尽研究，重点分析了国内外重点企业、行业发展趋势以及行业投资情况，报告还对智能催收系统下游行业的发展进行了探讨，是智能催收系统及相关企业、投资部门、研究机构准确了解目前中国市场发展动态，把握智能催收系统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智能催收系统行业概述</w:t>
      </w:r>
    </w:p>
    <w:p>
      <w:pPr>
        <w:spacing w:before="75" w:after="0"/>
      </w:pPr>
      <w:r>
        <w:rPr/>
        <w:t xml:space="preserve">第一节 行业定义与核心内涵</w:t>
      </w:r>
    </w:p>
    <w:p>
      <w:pPr>
        <w:spacing w:before="75" w:after="0"/>
      </w:pPr>
      <w:r>
        <w:rPr/>
        <w:t xml:space="preserve">一、智能催收系统的概念界定</w:t>
      </w:r>
    </w:p>
    <w:p>
      <w:pPr>
        <w:spacing w:before="75" w:after="0"/>
      </w:pPr>
      <w:r>
        <w:rPr/>
        <w:t xml:space="preserve">二、与传统催收模式的本质区别</w:t>
      </w:r>
    </w:p>
    <w:p>
      <w:pPr>
        <w:spacing w:before="75" w:after="0"/>
      </w:pPr>
      <w:r>
        <w:rPr/>
        <w:t xml:space="preserve">三、在不良资产处置体系中的功能定位</w:t>
      </w:r>
    </w:p>
    <w:p>
      <w:pPr>
        <w:spacing w:before="75" w:after="0"/>
      </w:pPr>
      <w:r>
        <w:rPr/>
        <w:t xml:space="preserve">第二节 行业发展演进路径</w:t>
      </w:r>
    </w:p>
    <w:p>
      <w:pPr>
        <w:spacing w:before="75" w:after="0"/>
      </w:pPr>
      <w:r>
        <w:rPr/>
        <w:t xml:space="preserve">一、早期规则引擎阶段</w:t>
      </w:r>
    </w:p>
    <w:p>
      <w:pPr>
        <w:spacing w:before="75" w:after="0"/>
      </w:pPr>
      <w:r>
        <w:rPr/>
        <w:t xml:space="preserve">二、语音识别与自动化初步应用阶段</w:t>
      </w:r>
    </w:p>
    <w:p>
      <w:pPr>
        <w:spacing w:before="75" w:after="0"/>
      </w:pPr>
      <w:r>
        <w:rPr/>
        <w:t xml:space="preserve">三、ai驱动与多模态融合阶段</w:t>
      </w:r>
    </w:p>
    <w:p>
      <w:pPr>
        <w:spacing w:before="75" w:after="0"/>
      </w:pPr>
      <w:r>
        <w:rPr/>
        <w:t xml:space="preserve">第三节 行业技术边界与服务范畴</w:t>
      </w:r>
    </w:p>
    <w:p>
      <w:pPr>
        <w:spacing w:before="75" w:after="0"/>
      </w:pPr>
      <w:r>
        <w:rPr/>
        <w:t xml:space="preserve">一、前端触达与交互系统</w:t>
      </w:r>
    </w:p>
    <w:p>
      <w:pPr>
        <w:spacing w:before="75" w:after="0"/>
      </w:pPr>
      <w:r>
        <w:rPr/>
        <w:t xml:space="preserve">二、中台策略决策引擎</w:t>
      </w:r>
    </w:p>
    <w:p>
      <w:pPr>
        <w:spacing w:before="75" w:after="0"/>
      </w:pPr>
      <w:r>
        <w:rPr/>
        <w:t xml:space="preserve">三、后台风控与合规管理模块</w:t>
      </w:r>
    </w:p>
    <w:p>
      <w:pPr>
        <w:spacing w:before="75" w:after="0"/>
      </w:pPr>
      <w:r>
        <w:rPr>
          <w:b w:val="1"/>
          <w:bCs w:val="1"/>
        </w:rPr>
        <w:t xml:space="preserve">第二章 全球智能催收系统行业发展态势分析</w:t>
      </w:r>
    </w:p>
    <w:p>
      <w:pPr>
        <w:spacing w:before="75" w:after="0"/>
      </w:pPr>
      <w:r>
        <w:rPr/>
        <w:t xml:space="preserve">第一节 全球市场规模与增长动力</w:t>
      </w:r>
    </w:p>
    <w:p>
      <w:pPr>
        <w:spacing w:before="75" w:after="0"/>
      </w:pPr>
      <w:r>
        <w:rPr/>
        <w:t xml:space="preserve">一、全球智能催收系统部署规模</w:t>
      </w:r>
    </w:p>
    <w:p>
      <w:pPr>
        <w:spacing w:before="75" w:after="0"/>
      </w:pPr>
      <w:r>
        <w:rPr/>
        <w:t xml:space="preserve">二、主要区域市场渗透率对比</w:t>
      </w:r>
    </w:p>
    <w:p>
      <w:pPr>
        <w:spacing w:before="75" w:after="0"/>
      </w:pPr>
      <w:r>
        <w:rPr/>
        <w:t xml:space="preserve">三、驱动因素：信贷风险上升与人力成本压力</w:t>
      </w:r>
    </w:p>
    <w:p>
      <w:pPr>
        <w:spacing w:before="75" w:after="0"/>
      </w:pPr>
      <w:r>
        <w:rPr/>
        <w:t xml:space="preserve">第二节 技术演进与创新方向</w:t>
      </w:r>
    </w:p>
    <w:p>
      <w:pPr>
        <w:spacing w:before="75" w:after="0"/>
      </w:pPr>
      <w:r>
        <w:rPr/>
        <w:t xml:space="preserve">一、生成式ai在催收话术生成中的应用</w:t>
      </w:r>
    </w:p>
    <w:p>
      <w:pPr>
        <w:spacing w:before="75" w:after="0"/>
      </w:pPr>
      <w:r>
        <w:rPr/>
        <w:t xml:space="preserve">二、情感计算提升客户沟通体验</w:t>
      </w:r>
    </w:p>
    <w:p>
      <w:pPr>
        <w:spacing w:before="75" w:after="0"/>
      </w:pPr>
      <w:r>
        <w:rPr/>
        <w:t xml:space="preserve">三、联邦学习支持跨机构数据协作</w:t>
      </w:r>
    </w:p>
    <w:p>
      <w:pPr>
        <w:spacing w:before="75" w:after="0"/>
      </w:pPr>
      <w:r>
        <w:rPr/>
        <w:t xml:space="preserve">第三节 国际领先企业布局特征</w:t>
      </w:r>
    </w:p>
    <w:p>
      <w:pPr>
        <w:spacing w:before="75" w:after="0"/>
      </w:pPr>
      <w:r>
        <w:rPr/>
        <w:t xml:space="preserve">一、北美科技公司主导平台化输出</w:t>
      </w:r>
    </w:p>
    <w:p>
      <w:pPr>
        <w:spacing w:before="75" w:after="0"/>
      </w:pPr>
      <w:r>
        <w:rPr/>
        <w:t xml:space="preserve">二、欧洲聚焦隐私保护型解决方案</w:t>
      </w:r>
    </w:p>
    <w:p>
      <w:pPr>
        <w:spacing w:before="75" w:after="0"/>
      </w:pPr>
      <w:r>
        <w:rPr/>
        <w:t xml:space="preserve">三、亚太地区本地化定制能力突出</w:t>
      </w:r>
    </w:p>
    <w:p>
      <w:pPr>
        <w:spacing w:before="75" w:after="0"/>
      </w:pPr>
      <w:r>
        <w:rPr>
          <w:b w:val="1"/>
          <w:bCs w:val="1"/>
        </w:rPr>
        <w:t xml:space="preserve">第三章 中国宏观经济与金融科技环境对行业的影响</w:t>
      </w:r>
    </w:p>
    <w:p>
      <w:pPr>
        <w:spacing w:before="75" w:after="0"/>
      </w:pPr>
      <w:r>
        <w:rPr/>
        <w:t xml:space="preserve">第一节 宏观经济波动对信贷质量的传导</w:t>
      </w:r>
    </w:p>
    <w:p>
      <w:pPr>
        <w:spacing w:before="75" w:after="0"/>
      </w:pPr>
      <w:r>
        <w:rPr/>
        <w:t xml:space="preserve">一、居民部门杠杆率变化趋势</w:t>
      </w:r>
    </w:p>
    <w:p>
      <w:pPr>
        <w:spacing w:before="75" w:after="0"/>
      </w:pPr>
      <w:r>
        <w:rPr/>
        <w:t xml:space="preserve">二、小微企业经营压力与违约风险</w:t>
      </w:r>
    </w:p>
    <w:p>
      <w:pPr>
        <w:spacing w:before="75" w:after="0"/>
      </w:pPr>
      <w:r>
        <w:rPr/>
        <w:t xml:space="preserve">三、房地产相关贷款风险暴露程度</w:t>
      </w:r>
    </w:p>
    <w:p>
      <w:pPr>
        <w:spacing w:before="75" w:after="0"/>
      </w:pPr>
      <w:r>
        <w:rPr/>
        <w:t xml:space="preserve">第二节 金融数字化转型加速</w:t>
      </w:r>
    </w:p>
    <w:p>
      <w:pPr>
        <w:spacing w:before="75" w:after="0"/>
      </w:pPr>
      <w:r>
        <w:rPr/>
        <w:t xml:space="preserve">一、银行与消金机构科技投入持续加码</w:t>
      </w:r>
    </w:p>
    <w:p>
      <w:pPr>
        <w:spacing w:before="75" w:after="0"/>
      </w:pPr>
      <w:r>
        <w:rPr/>
        <w:t xml:space="preserve">二、非银金融机构系统升级需求迫切</w:t>
      </w:r>
    </w:p>
    <w:p>
      <w:pPr>
        <w:spacing w:before="75" w:after="0"/>
      </w:pPr>
      <w:r>
        <w:rPr/>
        <w:t xml:space="preserve">三、开放银行生态推动催收系统集成</w:t>
      </w:r>
    </w:p>
    <w:p>
      <w:pPr>
        <w:spacing w:before="75" w:after="0"/>
      </w:pPr>
      <w:r>
        <w:rPr/>
        <w:t xml:space="preserve">第三节 数据要素市场化进程</w:t>
      </w:r>
    </w:p>
    <w:p>
      <w:pPr>
        <w:spacing w:before="75" w:after="0"/>
      </w:pPr>
      <w:r>
        <w:rPr/>
        <w:t xml:space="preserve">一、征信基础设施完善支撑模型训练</w:t>
      </w:r>
    </w:p>
    <w:p>
      <w:pPr>
        <w:spacing w:before="75" w:after="0"/>
      </w:pPr>
      <w:r>
        <w:rPr/>
        <w:t xml:space="preserve">二、隐私计算技术突破数据孤岛限制</w:t>
      </w:r>
    </w:p>
    <w:p>
      <w:pPr>
        <w:spacing w:before="75" w:after="0"/>
      </w:pPr>
      <w:r>
        <w:rPr/>
        <w:t xml:space="preserve">三、公共与商业数据融合应用场景拓展</w:t>
      </w:r>
    </w:p>
    <w:p>
      <w:pPr>
        <w:spacing w:before="75" w:after="0"/>
      </w:pPr>
      <w:r>
        <w:rPr>
          <w:b w:val="1"/>
          <w:bCs w:val="1"/>
        </w:rPr>
        <w:t xml:space="preserve">第四章 中国智能催收系统市场规模与结构分析</w:t>
      </w:r>
    </w:p>
    <w:p>
      <w:pPr>
        <w:spacing w:before="75" w:after="0"/>
      </w:pPr>
      <w:r>
        <w:rPr/>
        <w:t xml:space="preserve">第一节 市场总体规模测算</w:t>
      </w:r>
    </w:p>
    <w:p>
      <w:pPr>
        <w:spacing w:before="75" w:after="0"/>
      </w:pPr>
      <w:r>
        <w:rPr/>
        <w:t xml:space="preserve">一、系统销售与授权收入规模</w:t>
      </w:r>
    </w:p>
    <w:p>
      <w:pPr>
        <w:spacing w:before="75" w:after="0"/>
      </w:pPr>
      <w:r>
        <w:rPr/>
        <w:t xml:space="preserve">二、saas订阅服务营收占比</w:t>
      </w:r>
    </w:p>
    <w:p>
      <w:pPr>
        <w:spacing w:before="75" w:after="0"/>
      </w:pPr>
      <w:r>
        <w:rPr/>
        <w:t xml:space="preserve">三、定制化开发项目金额总量</w:t>
      </w:r>
    </w:p>
    <w:p>
      <w:pPr>
        <w:spacing w:before="75" w:after="0"/>
      </w:pPr>
      <w:r>
        <w:rPr/>
        <w:t xml:space="preserve">第二节 市场细分维度</w:t>
      </w:r>
    </w:p>
    <w:p>
      <w:pPr>
        <w:spacing w:before="75" w:after="0"/>
      </w:pPr>
      <w:r>
        <w:rPr/>
        <w:t xml:space="preserve">一、按部署模式</w:t>
      </w:r>
    </w:p>
    <w:p>
      <w:pPr>
        <w:spacing w:before="75" w:after="0"/>
      </w:pPr>
      <w:r>
        <w:rPr/>
        <w:t xml:space="preserve">二、按终端用户</w:t>
      </w:r>
    </w:p>
    <w:p>
      <w:pPr>
        <w:spacing w:before="75" w:after="0"/>
      </w:pPr>
      <w:r>
        <w:rPr/>
        <w:t xml:space="preserve">三、按功能模块</w:t>
      </w:r>
    </w:p>
    <w:p>
      <w:pPr>
        <w:spacing w:before="75" w:after="0"/>
      </w:pPr>
      <w:r>
        <w:rPr/>
        <w:t xml:space="preserve">第三节 区域市场分布特征</w:t>
      </w:r>
    </w:p>
    <w:p>
      <w:pPr>
        <w:spacing w:before="75" w:after="0"/>
      </w:pPr>
      <w:r>
        <w:rPr/>
        <w:t xml:space="preserve">一、一线城市金融机构集中带动需求</w:t>
      </w:r>
    </w:p>
    <w:p>
      <w:pPr>
        <w:spacing w:before="75" w:after="0"/>
      </w:pPr>
      <w:r>
        <w:rPr/>
        <w:t xml:space="preserve">二、长三角与珠三角科技服务能力集聚</w:t>
      </w:r>
    </w:p>
    <w:p>
      <w:pPr>
        <w:spacing w:before="75" w:after="0"/>
      </w:pPr>
      <w:r>
        <w:rPr/>
        <w:t xml:space="preserve">三、中西部地区政策引导下的试点推进</w:t>
      </w:r>
    </w:p>
    <w:p>
      <w:pPr>
        <w:spacing w:before="75" w:after="0"/>
      </w:pPr>
      <w:r>
        <w:rPr>
          <w:b w:val="1"/>
          <w:bCs w:val="1"/>
        </w:rPr>
        <w:t xml:space="preserve">第五章 智能催收系统产品分类体系</w:t>
      </w:r>
    </w:p>
    <w:p>
      <w:pPr>
        <w:spacing w:before="75" w:after="0"/>
      </w:pPr>
      <w:r>
        <w:rPr/>
        <w:t xml:space="preserve">第一节 按技术架构分类</w:t>
      </w:r>
    </w:p>
    <w:p>
      <w:pPr>
        <w:spacing w:before="75" w:after="0"/>
      </w:pPr>
      <w:r>
        <w:rPr/>
        <w:t xml:space="preserve">一、基于规则引擎的传统系统</w:t>
      </w:r>
    </w:p>
    <w:p>
      <w:pPr>
        <w:spacing w:before="75" w:after="0"/>
      </w:pPr>
      <w:r>
        <w:rPr/>
        <w:t xml:space="preserve">二、机器学习驱动的动态策略系统</w:t>
      </w:r>
    </w:p>
    <w:p>
      <w:pPr>
        <w:spacing w:before="75" w:after="0"/>
      </w:pPr>
      <w:r>
        <w:rPr/>
        <w:t xml:space="preserve">三、大模型赋能的生成式催收平台</w:t>
      </w:r>
    </w:p>
    <w:p>
      <w:pPr>
        <w:spacing w:before="75" w:after="0"/>
      </w:pPr>
      <w:r>
        <w:rPr/>
        <w:t xml:space="preserve">第二节 按交互方式分类</w:t>
      </w:r>
    </w:p>
    <w:p>
      <w:pPr>
        <w:spacing w:before="75" w:after="0"/>
      </w:pPr>
      <w:r>
        <w:rPr/>
        <w:t xml:space="preserve">一、智能语音外呼系统</w:t>
      </w:r>
    </w:p>
    <w:p>
      <w:pPr>
        <w:spacing w:before="75" w:after="0"/>
      </w:pPr>
      <w:r>
        <w:rPr/>
        <w:t xml:space="preserve">二、多通道消息推送平台</w:t>
      </w:r>
    </w:p>
    <w:p>
      <w:pPr>
        <w:spacing w:before="75" w:after="0"/>
      </w:pPr>
      <w:r>
        <w:rPr/>
        <w:t xml:space="preserve">三、人机协同混合催收工作站</w:t>
      </w:r>
    </w:p>
    <w:p>
      <w:pPr>
        <w:spacing w:before="75" w:after="0"/>
      </w:pPr>
      <w:r>
        <w:rPr/>
        <w:t xml:space="preserve">第三节 按服务形态分类</w:t>
      </w:r>
    </w:p>
    <w:p>
      <w:pPr>
        <w:spacing w:before="75" w:after="0"/>
      </w:pPr>
      <w:r>
        <w:rPr/>
        <w:t xml:space="preserve">一、标准化saas产品</w:t>
      </w:r>
    </w:p>
    <w:p>
      <w:pPr>
        <w:spacing w:before="75" w:after="0"/>
      </w:pPr>
      <w:r>
        <w:rPr/>
        <w:t xml:space="preserve">二、可配置化paas平台</w:t>
      </w:r>
    </w:p>
    <w:p>
      <w:pPr>
        <w:spacing w:before="75" w:after="0"/>
      </w:pPr>
      <w:r>
        <w:rPr/>
        <w:t xml:space="preserve">三、全栈式定制解决方案</w:t>
      </w:r>
    </w:p>
    <w:p>
      <w:pPr>
        <w:spacing w:before="75" w:after="0"/>
      </w:pPr>
      <w:r>
        <w:rPr>
          <w:b w:val="1"/>
          <w:bCs w:val="1"/>
        </w:rPr>
        <w:t xml:space="preserve">第六章 智能催收系统上游产业链分析</w:t>
      </w:r>
    </w:p>
    <w:p>
      <w:pPr>
        <w:spacing w:before="75" w:after="0"/>
      </w:pPr>
      <w:r>
        <w:rPr/>
        <w:t xml:space="preserve">第一节 核心技术组件供应商</w:t>
      </w:r>
    </w:p>
    <w:p>
      <w:pPr>
        <w:spacing w:before="75" w:after="0"/>
      </w:pPr>
      <w:r>
        <w:rPr/>
        <w:t xml:space="preserve">一、语音识别与合成(asr/tts)服务商</w:t>
      </w:r>
    </w:p>
    <w:p>
      <w:pPr>
        <w:spacing w:before="75" w:after="0"/>
      </w:pPr>
      <w:r>
        <w:rPr/>
        <w:t xml:space="preserve">二、自然语言处理(nlp)算法提供商</w:t>
      </w:r>
    </w:p>
    <w:p>
      <w:pPr>
        <w:spacing w:before="75" w:after="0"/>
      </w:pPr>
      <w:r>
        <w:rPr/>
        <w:t xml:space="preserve">三、对话管理与意图识别引擎开发商</w:t>
      </w:r>
    </w:p>
    <w:p>
      <w:pPr>
        <w:spacing w:before="75" w:after="0"/>
      </w:pPr>
      <w:r>
        <w:rPr/>
        <w:t xml:space="preserve">第二节 硬件与云基础设施</w:t>
      </w:r>
    </w:p>
    <w:p>
      <w:pPr>
        <w:spacing w:before="75" w:after="0"/>
      </w:pPr>
      <w:r>
        <w:rPr/>
        <w:t xml:space="preserve">一、云计算资源采购模式</w:t>
      </w:r>
    </w:p>
    <w:p>
      <w:pPr>
        <w:spacing w:before="75" w:after="0"/>
      </w:pPr>
      <w:r>
        <w:rPr/>
        <w:t xml:space="preserve">二、gpu算力租赁与边缘部署需求</w:t>
      </w:r>
    </w:p>
    <w:p>
      <w:pPr>
        <w:spacing w:before="75" w:after="0"/>
      </w:pPr>
      <w:r>
        <w:rPr/>
        <w:t xml:space="preserve">三、通信线路与呼叫中心资源对接</w:t>
      </w:r>
    </w:p>
    <w:p>
      <w:pPr>
        <w:spacing w:before="75" w:after="0"/>
      </w:pPr>
      <w:r>
        <w:rPr/>
        <w:t xml:space="preserve">第三节 数据与模型支持体系</w:t>
      </w:r>
    </w:p>
    <w:p>
      <w:pPr>
        <w:spacing w:before="75" w:after="0"/>
      </w:pPr>
      <w:r>
        <w:rPr/>
        <w:t xml:space="preserve">一、历史催收语料库建设</w:t>
      </w:r>
    </w:p>
    <w:p>
      <w:pPr>
        <w:spacing w:before="75" w:after="0"/>
      </w:pPr>
      <w:r>
        <w:rPr/>
        <w:t xml:space="preserve">二、客户行为标签体系构建</w:t>
      </w:r>
    </w:p>
    <w:p>
      <w:pPr>
        <w:spacing w:before="75" w:after="0"/>
      </w:pPr>
      <w:r>
        <w:rPr/>
        <w:t xml:space="preserve">三、第三方征信与反欺诈数据接入</w:t>
      </w:r>
    </w:p>
    <w:p>
      <w:pPr>
        <w:spacing w:before="75" w:after="0"/>
      </w:pPr>
      <w:r>
        <w:rPr>
          <w:b w:val="1"/>
          <w:bCs w:val="1"/>
        </w:rPr>
        <w:t xml:space="preserve">第七章 智能催收系统下游应用领域分析</w:t>
      </w:r>
    </w:p>
    <w:p>
      <w:pPr>
        <w:spacing w:before="75" w:after="0"/>
      </w:pPr>
      <w:r>
        <w:rPr/>
        <w:t xml:space="preserve">第一节 银行业应用场景</w:t>
      </w:r>
    </w:p>
    <w:p>
      <w:pPr>
        <w:spacing w:before="75" w:after="0"/>
      </w:pPr>
      <w:r>
        <w:rPr/>
        <w:t xml:space="preserve">一、信用卡逾期催收自动化需求</w:t>
      </w:r>
    </w:p>
    <w:p>
      <w:pPr>
        <w:spacing w:before="75" w:after="0"/>
      </w:pPr>
      <w:r>
        <w:rPr/>
        <w:t xml:space="preserve">二、对公贷款早期预警联动机制</w:t>
      </w:r>
    </w:p>
    <w:p>
      <w:pPr>
        <w:spacing w:before="75" w:after="0"/>
      </w:pPr>
      <w:r>
        <w:rPr/>
        <w:t xml:space="preserve">三、零售信贷全生命周期管理集成</w:t>
      </w:r>
    </w:p>
    <w:p>
      <w:pPr>
        <w:spacing w:before="75" w:after="0"/>
      </w:pPr>
      <w:r>
        <w:rPr/>
        <w:t xml:space="preserve">第二节 消费金融公司应用特征</w:t>
      </w:r>
    </w:p>
    <w:p>
      <w:pPr>
        <w:spacing w:before="75" w:after="0"/>
      </w:pPr>
      <w:r>
        <w:rPr/>
        <w:t xml:space="preserve">一、小额高频催收场景适配性</w:t>
      </w:r>
    </w:p>
    <w:p>
      <w:pPr>
        <w:spacing w:before="75" w:after="0"/>
      </w:pPr>
      <w:r>
        <w:rPr/>
        <w:t xml:space="preserve">二、与风控模型实时反馈闭环</w:t>
      </w:r>
    </w:p>
    <w:p>
      <w:pPr>
        <w:spacing w:before="75" w:after="0"/>
      </w:pPr>
      <w:r>
        <w:rPr/>
        <w:t xml:space="preserve">三、移动端催收触点整合</w:t>
      </w:r>
    </w:p>
    <w:p>
      <w:pPr>
        <w:spacing w:before="75" w:after="0"/>
      </w:pPr>
      <w:r>
        <w:rPr/>
        <w:t xml:space="preserve">第三节 互联网金融平台需求</w:t>
      </w:r>
    </w:p>
    <w:p>
      <w:pPr>
        <w:spacing w:before="75" w:after="0"/>
      </w:pPr>
      <w:r>
        <w:rPr/>
        <w:t xml:space="preserve">一、助贷合作中的系统责任边界</w:t>
      </w:r>
    </w:p>
    <w:p>
      <w:pPr>
        <w:spacing w:before="75" w:after="0"/>
      </w:pPr>
      <w:r>
        <w:rPr/>
        <w:t xml:space="preserve">二、存量资产清退的技术支撑</w:t>
      </w:r>
    </w:p>
    <w:p>
      <w:pPr>
        <w:spacing w:before="75" w:after="0"/>
      </w:pPr>
      <w:r>
        <w:rPr/>
        <w:t xml:space="preserve">三、多渠道用户触达效率优化</w:t>
      </w:r>
    </w:p>
    <w:p>
      <w:pPr>
        <w:spacing w:before="75" w:after="0"/>
      </w:pPr>
      <w:r>
        <w:rPr>
          <w:b w:val="1"/>
          <w:bCs w:val="1"/>
        </w:rPr>
        <w:t xml:space="preserve">第八章 行业竞争格局分析</w:t>
      </w:r>
    </w:p>
    <w:p>
      <w:pPr>
        <w:spacing w:before="75" w:after="0"/>
      </w:pPr>
      <w:r>
        <w:rPr/>
        <w:t xml:space="preserve">第一节 市场集中度与梯队划分</w:t>
      </w:r>
    </w:p>
    <w:p>
      <w:pPr>
        <w:spacing w:before="75" w:after="0"/>
      </w:pPr>
      <w:r>
        <w:rPr/>
        <w:t xml:space="preserve">一、头部科技企业占据高端市场</w:t>
      </w:r>
    </w:p>
    <w:p>
      <w:pPr>
        <w:spacing w:before="75" w:after="0"/>
      </w:pPr>
      <w:r>
        <w:rPr/>
        <w:t xml:space="preserve">二、垂直领域厂商深耕细分场景</w:t>
      </w:r>
    </w:p>
    <w:p>
      <w:pPr>
        <w:spacing w:before="75" w:after="0"/>
      </w:pPr>
      <w:r>
        <w:rPr/>
        <w:t xml:space="preserve">三、区域性中小开发商生存空间压缩</w:t>
      </w:r>
    </w:p>
    <w:p>
      <w:pPr>
        <w:spacing w:before="75" w:after="0"/>
      </w:pPr>
      <w:r>
        <w:rPr/>
        <w:t xml:space="preserve">第二节 主要竞争主体类型</w:t>
      </w:r>
    </w:p>
    <w:p>
      <w:pPr>
        <w:spacing w:before="75" w:after="0"/>
      </w:pPr>
      <w:r>
        <w:rPr/>
        <w:t xml:space="preserve">一、大型金融科技集团</w:t>
      </w:r>
    </w:p>
    <w:p>
      <w:pPr>
        <w:spacing w:before="75" w:after="0"/>
      </w:pPr>
      <w:r>
        <w:rPr/>
        <w:t xml:space="preserve">二、专业智能催收系统厂商</w:t>
      </w:r>
    </w:p>
    <w:p>
      <w:pPr>
        <w:spacing w:before="75" w:after="0"/>
      </w:pPr>
      <w:r>
        <w:rPr/>
        <w:t xml:space="preserve">三、传统呼叫中心软件转型企业</w:t>
      </w:r>
    </w:p>
    <w:p>
      <w:pPr>
        <w:spacing w:before="75" w:after="0"/>
      </w:pPr>
      <w:r>
        <w:rPr/>
        <w:t xml:space="preserve">四、ai初创公司聚焦算法创新</w:t>
      </w:r>
    </w:p>
    <w:p>
      <w:pPr>
        <w:spacing w:before="75" w:after="0"/>
      </w:pPr>
      <w:r>
        <w:rPr/>
        <w:t xml:space="preserve">第三节 竞争焦点演变趋势</w:t>
      </w:r>
    </w:p>
    <w:p>
      <w:pPr>
        <w:spacing w:before="75" w:after="0"/>
      </w:pPr>
      <w:r>
        <w:rPr/>
        <w:t xml:space="preserve">一、从功能覆盖向效果可量化转变</w:t>
      </w:r>
    </w:p>
    <w:p>
      <w:pPr>
        <w:spacing w:before="75" w:after="0"/>
      </w:pPr>
      <w:r>
        <w:rPr/>
        <w:t xml:space="preserve">二、从单点工具向平台生态竞争升级</w:t>
      </w:r>
    </w:p>
    <w:p>
      <w:pPr>
        <w:spacing w:before="75" w:after="0"/>
      </w:pPr>
      <w:r>
        <w:rPr/>
        <w:t xml:space="preserve">三、合规能力成为差异化关键</w:t>
      </w:r>
    </w:p>
    <w:p>
      <w:pPr>
        <w:spacing w:before="75" w:after="0"/>
      </w:pPr>
      <w:r>
        <w:rPr>
          <w:b w:val="1"/>
          <w:bCs w:val="1"/>
        </w:rPr>
        <w:t xml:space="preserve">第九章 行业商业模式与盈利结构</w:t>
      </w:r>
    </w:p>
    <w:p>
      <w:pPr>
        <w:spacing w:before="75" w:after="0"/>
      </w:pPr>
      <w:r>
        <w:rPr/>
        <w:t xml:space="preserve">第一节 收入模式构成</w:t>
      </w:r>
    </w:p>
    <w:p>
      <w:pPr>
        <w:spacing w:before="75" w:after="0"/>
      </w:pPr>
      <w:r>
        <w:rPr/>
        <w:t xml:space="preserve">一、一次性系统授权费</w:t>
      </w:r>
    </w:p>
    <w:p>
      <w:pPr>
        <w:spacing w:before="75" w:after="0"/>
      </w:pPr>
      <w:r>
        <w:rPr/>
        <w:t xml:space="preserve">二、按坐席或案件量计费的saas订阅</w:t>
      </w:r>
    </w:p>
    <w:p>
      <w:pPr>
        <w:spacing w:before="75" w:after="0"/>
      </w:pPr>
      <w:r>
        <w:rPr/>
        <w:t xml:space="preserve">三、效果对赌型绩效分成模式</w:t>
      </w:r>
    </w:p>
    <w:p>
      <w:pPr>
        <w:spacing w:before="75" w:after="0"/>
      </w:pPr>
      <w:r>
        <w:rPr/>
        <w:t xml:space="preserve">第二节 成本结构分析</w:t>
      </w:r>
    </w:p>
    <w:p>
      <w:pPr>
        <w:spacing w:before="75" w:after="0"/>
      </w:pPr>
      <w:r>
        <w:rPr/>
        <w:t xml:space="preserve">一、研发投入占比持续高位</w:t>
      </w:r>
    </w:p>
    <w:p>
      <w:pPr>
        <w:spacing w:before="75" w:after="0"/>
      </w:pPr>
      <w:r>
        <w:rPr/>
        <w:t xml:space="preserve">二、云资源与通信成本刚性支出</w:t>
      </w:r>
    </w:p>
    <w:p>
      <w:pPr>
        <w:spacing w:before="75" w:after="0"/>
      </w:pPr>
      <w:r>
        <w:rPr/>
        <w:t xml:space="preserve">三、客户成功与运维服务人力投入</w:t>
      </w:r>
    </w:p>
    <w:p>
      <w:pPr>
        <w:spacing w:before="75" w:after="0"/>
      </w:pPr>
      <w:r>
        <w:rPr/>
        <w:t xml:space="preserve">第三节 盈利能力评估</w:t>
      </w:r>
    </w:p>
    <w:p>
      <w:pPr>
        <w:spacing w:before="75" w:after="0"/>
      </w:pPr>
      <w:r>
        <w:rPr/>
        <w:t xml:space="preserve">一、毛利率水平与规模效应关系</w:t>
      </w:r>
    </w:p>
    <w:p>
      <w:pPr>
        <w:spacing w:before="75" w:after="0"/>
      </w:pPr>
      <w:r>
        <w:rPr/>
        <w:t xml:space="preserve">二、客户留存率与ltv/cac比值</w:t>
      </w:r>
    </w:p>
    <w:p>
      <w:pPr>
        <w:spacing w:before="75" w:after="0"/>
      </w:pPr>
      <w:r>
        <w:rPr/>
        <w:t xml:space="preserve">三、定制化项目与标准化产品利润差异</w:t>
      </w:r>
    </w:p>
    <w:p>
      <w:pPr>
        <w:spacing w:before="75" w:after="0"/>
      </w:pPr>
      <w:r>
        <w:rPr>
          <w:b w:val="1"/>
          <w:bCs w:val="1"/>
        </w:rPr>
        <w:t xml:space="preserve">第十章 核心技术发展趋势</w:t>
      </w:r>
    </w:p>
    <w:p>
      <w:pPr>
        <w:spacing w:before="75" w:after="0"/>
      </w:pPr>
      <w:r>
        <w:rPr/>
        <w:t xml:space="preserve">第一节 大模型与生成式ai融合</w:t>
      </w:r>
    </w:p>
    <w:p>
      <w:pPr>
        <w:spacing w:before="75" w:after="0"/>
      </w:pPr>
      <w:r>
        <w:rPr/>
        <w:t xml:space="preserve">一、llm驱动的个性化话术生成</w:t>
      </w:r>
    </w:p>
    <w:p>
      <w:pPr>
        <w:spacing w:before="75" w:after="0"/>
      </w:pPr>
      <w:r>
        <w:rPr/>
        <w:t xml:space="preserve">二、上下文感知的多轮对话管理</w:t>
      </w:r>
    </w:p>
    <w:p>
      <w:pPr>
        <w:spacing w:before="75" w:after="0"/>
      </w:pPr>
      <w:r>
        <w:rPr/>
        <w:t xml:space="preserve">三、自动摘要与催记生成能力</w:t>
      </w:r>
    </w:p>
    <w:p>
      <w:pPr>
        <w:spacing w:before="75" w:after="0"/>
      </w:pPr>
      <w:r>
        <w:rPr/>
        <w:t xml:space="preserve">第二节 多模态交互能力提升</w:t>
      </w:r>
    </w:p>
    <w:p>
      <w:pPr>
        <w:spacing w:before="75" w:after="0"/>
      </w:pPr>
      <w:r>
        <w:rPr/>
        <w:t xml:space="preserve">一、语音+文本+图像综合判断</w:t>
      </w:r>
    </w:p>
    <w:p>
      <w:pPr>
        <w:spacing w:before="75" w:after="0"/>
      </w:pPr>
      <w:r>
        <w:rPr/>
        <w:t xml:space="preserve">二、情绪识别与语气调节技术</w:t>
      </w:r>
    </w:p>
    <w:p>
      <w:pPr>
        <w:spacing w:before="75" w:after="0"/>
      </w:pPr>
      <w:r>
        <w:rPr/>
        <w:t xml:space="preserve">三、视频催收试点探索</w:t>
      </w:r>
    </w:p>
    <w:p>
      <w:pPr>
        <w:spacing w:before="75" w:after="0"/>
      </w:pPr>
      <w:r>
        <w:rPr/>
        <w:t xml:space="preserve">第三节 合规与安全技术强化</w:t>
      </w:r>
    </w:p>
    <w:p>
      <w:pPr>
        <w:spacing w:before="75" w:after="0"/>
      </w:pPr>
      <w:r>
        <w:rPr/>
        <w:t xml:space="preserve">一、通话内容实时敏感词过滤</w:t>
      </w:r>
    </w:p>
    <w:p>
      <w:pPr>
        <w:spacing w:before="75" w:after="0"/>
      </w:pPr>
      <w:r>
        <w:rPr/>
        <w:t xml:space="preserve">二、操作行为全链路审计追踪</w:t>
      </w:r>
    </w:p>
    <w:p>
      <w:pPr>
        <w:spacing w:before="75" w:after="0"/>
      </w:pPr>
      <w:r>
        <w:rPr/>
        <w:t xml:space="preserve">三、数据脱敏与加密传输机制</w:t>
      </w:r>
    </w:p>
    <w:p>
      <w:pPr>
        <w:spacing w:before="75" w:after="0"/>
      </w:pPr>
      <w:r>
        <w:rPr>
          <w:b w:val="1"/>
          <w:bCs w:val="1"/>
        </w:rPr>
        <w:t xml:space="preserve">第十一章 行业标准与合规框架演进</w:t>
      </w:r>
    </w:p>
    <w:p>
      <w:pPr>
        <w:spacing w:before="75" w:after="0"/>
      </w:pPr>
      <w:r>
        <w:rPr/>
        <w:t xml:space="preserve">第一节 技术标准体系建设进展</w:t>
      </w:r>
    </w:p>
    <w:p>
      <w:pPr>
        <w:spacing w:before="75" w:after="0"/>
      </w:pPr>
      <w:r>
        <w:rPr/>
        <w:t xml:space="preserve">一、催收语音质量评估指标</w:t>
      </w:r>
    </w:p>
    <w:p>
      <w:pPr>
        <w:spacing w:before="75" w:after="0"/>
      </w:pPr>
      <w:r>
        <w:rPr/>
        <w:t xml:space="preserve">二、ai决策可解释性要求</w:t>
      </w:r>
    </w:p>
    <w:p>
      <w:pPr>
        <w:spacing w:before="75" w:after="0"/>
      </w:pPr>
      <w:r>
        <w:rPr/>
        <w:t xml:space="preserve">三、系统接口与数据格式规范</w:t>
      </w:r>
    </w:p>
    <w:p>
      <w:pPr>
        <w:spacing w:before="75" w:after="0"/>
      </w:pPr>
      <w:r>
        <w:rPr/>
        <w:t xml:space="preserve">第二节 合规风险防控机制</w:t>
      </w:r>
    </w:p>
    <w:p>
      <w:pPr>
        <w:spacing w:before="75" w:after="0"/>
      </w:pPr>
      <w:r>
        <w:rPr/>
        <w:t xml:space="preserve">一、避免骚扰与过度催收的技术控制</w:t>
      </w:r>
    </w:p>
    <w:p>
      <w:pPr>
        <w:spacing w:before="75" w:after="0"/>
      </w:pPr>
      <w:r>
        <w:rPr/>
        <w:t xml:space="preserve">二、用户授权与数据使用边界管理</w:t>
      </w:r>
    </w:p>
    <w:p>
      <w:pPr>
        <w:spacing w:before="75" w:after="0"/>
      </w:pPr>
      <w:r>
        <w:rPr/>
        <w:t xml:space="preserve">三、司法证据链自动生成能力</w:t>
      </w:r>
    </w:p>
    <w:p>
      <w:pPr>
        <w:spacing w:before="75" w:after="0"/>
      </w:pPr>
      <w:r>
        <w:rPr/>
        <w:t xml:space="preserve">第三节 未来监管技术导向</w:t>
      </w:r>
    </w:p>
    <w:p>
      <w:pPr>
        <w:spacing w:before="75" w:after="0"/>
      </w:pPr>
      <w:r>
        <w:rPr/>
        <w:t xml:space="preserve">一、监管沙盒试点推动创新合规</w:t>
      </w:r>
    </w:p>
    <w:p>
      <w:pPr>
        <w:spacing w:before="75" w:after="0"/>
      </w:pPr>
      <w:r>
        <w:rPr/>
        <w:t xml:space="preserve">二、第三方系统认证制度酝酿</w:t>
      </w:r>
    </w:p>
    <w:p>
      <w:pPr>
        <w:spacing w:before="75" w:after="0"/>
      </w:pPr>
      <w:r>
        <w:rPr/>
        <w:t xml:space="preserve">三、行业白名单与黑名单联动机制</w:t>
      </w:r>
    </w:p>
    <w:p>
      <w:pPr>
        <w:spacing w:before="75" w:after="0"/>
      </w:pPr>
      <w:r>
        <w:rPr>
          <w:b w:val="1"/>
          <w:bCs w:val="1"/>
        </w:rPr>
        <w:t xml:space="preserve">第十二章 2026-2031年市场发展预测</w:t>
      </w:r>
    </w:p>
    <w:p>
      <w:pPr>
        <w:spacing w:before="75" w:after="0"/>
      </w:pPr>
      <w:r>
        <w:rPr/>
        <w:t xml:space="preserve">第一节 市场规模预测</w:t>
      </w:r>
    </w:p>
    <w:p>
      <w:pPr>
        <w:spacing w:before="75" w:after="0"/>
      </w:pPr>
      <w:r>
        <w:rPr/>
        <w:t xml:space="preserve">一、整体营收复合增长率(cagr)</w:t>
      </w:r>
    </w:p>
    <w:p>
      <w:pPr>
        <w:spacing w:before="75" w:after="0"/>
      </w:pPr>
      <w:r>
        <w:rPr/>
        <w:t xml:space="preserve">二、saas模式占比提升趋势</w:t>
      </w:r>
    </w:p>
    <w:p>
      <w:pPr>
        <w:spacing w:before="75" w:after="0"/>
      </w:pPr>
      <w:r>
        <w:rPr/>
        <w:t xml:space="preserve">三、定制化项目需求结构性变化</w:t>
      </w:r>
    </w:p>
    <w:p>
      <w:pPr>
        <w:spacing w:before="75" w:after="0"/>
      </w:pPr>
      <w:r>
        <w:rPr/>
        <w:t xml:space="preserve">第二节 技术渗透率预测</w:t>
      </w:r>
    </w:p>
    <w:p>
      <w:pPr>
        <w:spacing w:before="75" w:after="0"/>
      </w:pPr>
      <w:r>
        <w:rPr/>
        <w:t xml:space="preserve">一、生成式ai催收系统覆盖率</w:t>
      </w:r>
    </w:p>
    <w:p>
      <w:pPr>
        <w:spacing w:before="75" w:after="0"/>
      </w:pPr>
      <w:r>
        <w:rPr/>
        <w:t xml:space="preserve">二、全自动化催收流程普及率</w:t>
      </w:r>
    </w:p>
    <w:p>
      <w:pPr>
        <w:spacing w:before="75" w:after="0"/>
      </w:pPr>
      <w:r>
        <w:rPr/>
        <w:t xml:space="preserve">三、多模态交互系统部署比例</w:t>
      </w:r>
    </w:p>
    <w:p>
      <w:pPr>
        <w:spacing w:before="75" w:after="0"/>
      </w:pPr>
      <w:r>
        <w:rPr/>
        <w:t xml:space="preserve">第三节 用户结构预测</w:t>
      </w:r>
    </w:p>
    <w:p>
      <w:pPr>
        <w:spacing w:before="75" w:after="0"/>
      </w:pPr>
      <w:r>
        <w:rPr/>
        <w:t xml:space="preserve">一、银行客户采购集中度变化</w:t>
      </w:r>
    </w:p>
    <w:p>
      <w:pPr>
        <w:spacing w:before="75" w:after="0"/>
      </w:pPr>
      <w:r>
        <w:rPr/>
        <w:t xml:space="preserve">二、中小金融机构saas采纳率</w:t>
      </w:r>
    </w:p>
    <w:p>
      <w:pPr>
        <w:spacing w:before="75" w:after="0"/>
      </w:pPr>
      <w:r>
        <w:rPr/>
        <w:t xml:space="preserve">三、非银机构系统自研与外包选择偏好</w:t>
      </w:r>
    </w:p>
    <w:p>
      <w:pPr>
        <w:spacing w:before="75" w:after="0"/>
      </w:pPr>
      <w:r>
        <w:rPr>
          <w:b w:val="1"/>
          <w:bCs w:val="1"/>
        </w:rPr>
        <w:t xml:space="preserve">第十三章 行业驱动因素与制约因素分析</w:t>
      </w:r>
    </w:p>
    <w:p>
      <w:pPr>
        <w:spacing w:before="75" w:after="0"/>
      </w:pPr>
      <w:r>
        <w:rPr/>
        <w:t xml:space="preserve">第一节 核心驱动因素</w:t>
      </w:r>
    </w:p>
    <w:p>
      <w:pPr>
        <w:spacing w:before="75" w:after="0"/>
      </w:pPr>
      <w:r>
        <w:rPr/>
        <w:t xml:space="preserve">一、金融机构降本增效刚性需求</w:t>
      </w:r>
    </w:p>
    <w:p>
      <w:pPr>
        <w:spacing w:before="75" w:after="0"/>
      </w:pPr>
      <w:r>
        <w:rPr/>
        <w:t xml:space="preserve">二、不良贷款规模持续攀升压力</w:t>
      </w:r>
    </w:p>
    <w:p>
      <w:pPr>
        <w:spacing w:before="75" w:after="0"/>
      </w:pPr>
      <w:r>
        <w:rPr/>
        <w:t xml:space="preserve">三、ai技术成熟度达到商用拐点</w:t>
      </w:r>
    </w:p>
    <w:p>
      <w:pPr>
        <w:spacing w:before="75" w:after="0"/>
      </w:pPr>
      <w:r>
        <w:rPr/>
        <w:t xml:space="preserve">第二节 主要制约因素</w:t>
      </w:r>
    </w:p>
    <w:p>
      <w:pPr>
        <w:spacing w:before="75" w:after="0"/>
      </w:pPr>
      <w:r>
        <w:rPr/>
        <w:t xml:space="preserve">一、高质量催收语料获取受限</w:t>
      </w:r>
    </w:p>
    <w:p>
      <w:pPr>
        <w:spacing w:before="75" w:after="0"/>
      </w:pPr>
      <w:r>
        <w:rPr/>
        <w:t xml:space="preserve">二、客户接受度与信任建立缓慢</w:t>
      </w:r>
    </w:p>
    <w:p>
      <w:pPr>
        <w:spacing w:before="75" w:after="0"/>
      </w:pPr>
      <w:r>
        <w:rPr/>
        <w:t xml:space="preserve">三、跨系统集成复杂度高</w:t>
      </w:r>
    </w:p>
    <w:p>
      <w:pPr>
        <w:spacing w:before="75" w:after="0"/>
      </w:pPr>
      <w:r>
        <w:rPr/>
        <w:t xml:space="preserve">第三节 swot战略分析</w:t>
      </w:r>
    </w:p>
    <w:p>
      <w:pPr>
        <w:spacing w:before="75" w:after="0"/>
      </w:pPr>
      <w:r>
        <w:rPr/>
        <w:t xml:space="preserve">一、优势：技术迭代快、成本优势明显</w:t>
      </w:r>
    </w:p>
    <w:p>
      <w:pPr>
        <w:spacing w:before="75" w:after="0"/>
      </w:pPr>
      <w:r>
        <w:rPr/>
        <w:t xml:space="preserve">二、劣势：品牌认知弱、服务深度不足</w:t>
      </w:r>
    </w:p>
    <w:p>
      <w:pPr>
        <w:spacing w:before="75" w:after="0"/>
      </w:pPr>
      <w:r>
        <w:rPr/>
        <w:t xml:space="preserve">三、机遇：金融信创、数字人民币生态延伸</w:t>
      </w:r>
    </w:p>
    <w:p>
      <w:pPr>
        <w:spacing w:before="75" w:after="0"/>
      </w:pPr>
      <w:r>
        <w:rPr/>
        <w:t xml:space="preserve">四、威胁：国际巨头潜在进入、替代技术出现</w:t>
      </w:r>
    </w:p>
    <w:p>
      <w:pPr>
        <w:spacing w:before="75" w:after="0"/>
      </w:pPr>
      <w:r>
        <w:rPr>
          <w:b w:val="1"/>
          <w:bCs w:val="1"/>
        </w:rPr>
        <w:t xml:space="preserve">第十四章 投资机会与风险预警</w:t>
      </w:r>
    </w:p>
    <w:p>
      <w:pPr>
        <w:spacing w:before="75" w:after="0"/>
      </w:pPr>
      <w:r>
        <w:rPr/>
        <w:t xml:space="preserve">第一节 高潜力投资赛道</w:t>
      </w:r>
    </w:p>
    <w:p>
      <w:pPr>
        <w:spacing w:before="75" w:after="0"/>
      </w:pPr>
      <w:r>
        <w:rPr/>
        <w:t xml:space="preserve">一、生成式催收大模型底层技术</w:t>
      </w:r>
    </w:p>
    <w:p>
      <w:pPr>
        <w:spacing w:before="75" w:after="0"/>
      </w:pPr>
      <w:r>
        <w:rPr/>
        <w:t xml:space="preserve">二、催收效果可量化评估工具</w:t>
      </w:r>
    </w:p>
    <w:p>
      <w:pPr>
        <w:spacing w:before="75" w:after="0"/>
      </w:pPr>
      <w:r>
        <w:rPr/>
        <w:t xml:space="preserve">三、合规科技(regtech)嵌入模块</w:t>
      </w:r>
    </w:p>
    <w:p>
      <w:pPr>
        <w:spacing w:before="75" w:after="0"/>
      </w:pPr>
      <w:r>
        <w:rPr/>
        <w:t xml:space="preserve">第二节 主要投资风险</w:t>
      </w:r>
    </w:p>
    <w:p>
      <w:pPr>
        <w:spacing w:before="75" w:after="0"/>
      </w:pPr>
      <w:r>
        <w:rPr/>
        <w:t xml:space="preserve">一、技术路线快速迭代导致沉没成本</w:t>
      </w:r>
    </w:p>
    <w:p>
      <w:pPr>
        <w:spacing w:before="75" w:after="0"/>
      </w:pPr>
      <w:r>
        <w:rPr/>
        <w:t xml:space="preserve">二、客户预算收缩影响采购周期</w:t>
      </w:r>
    </w:p>
    <w:p>
      <w:pPr>
        <w:spacing w:before="75" w:after="0"/>
      </w:pPr>
      <w:r>
        <w:rPr/>
        <w:t xml:space="preserve">三、数据安全事件引发声誉危机</w:t>
      </w:r>
    </w:p>
    <w:p>
      <w:pPr>
        <w:spacing w:before="75" w:after="0"/>
      </w:pPr>
      <w:r>
        <w:rPr/>
        <w:t xml:space="preserve">第三节 战略投资建议</w:t>
      </w:r>
    </w:p>
    <w:p>
      <w:pPr>
        <w:spacing w:before="75" w:after="0"/>
      </w:pPr>
      <w:r>
        <w:rPr/>
        <w:t xml:space="preserve">一、优先布局银行与头部消金客户</w:t>
      </w:r>
    </w:p>
    <w:p>
      <w:pPr>
        <w:spacing w:before="75" w:after="0"/>
      </w:pPr>
      <w:r>
        <w:rPr/>
        <w:t xml:space="preserve">二、构建“技术+服务+合规”三位一体能力</w:t>
      </w:r>
    </w:p>
    <w:p>
      <w:pPr>
        <w:spacing w:before="75" w:after="0"/>
      </w:pPr>
      <w:r>
        <w:rPr/>
        <w:t xml:space="preserve">三、探索与不良资产处置平台协同</w:t>
      </w:r>
    </w:p>
    <w:p>
      <w:pPr>
        <w:spacing w:before="75" w:after="0"/>
      </w:pPr>
      <w:r>
        <w:rPr>
          <w:b w:val="1"/>
          <w:bCs w:val="1"/>
        </w:rPr>
        <w:t xml:space="preserve">第十六章 行业可持续发展与未来展望</w:t>
      </w:r>
    </w:p>
    <w:p>
      <w:pPr>
        <w:spacing w:before="75" w:after="0"/>
      </w:pPr>
      <w:r>
        <w:rPr/>
        <w:t xml:space="preserve">第一节 esg理念融入产品设计</w:t>
      </w:r>
    </w:p>
    <w:p>
      <w:pPr>
        <w:spacing w:before="75" w:after="0"/>
      </w:pPr>
      <w:r>
        <w:rPr/>
        <w:t xml:space="preserve">一、减少无效触达降低碳足迹</w:t>
      </w:r>
    </w:p>
    <w:p>
      <w:pPr>
        <w:spacing w:before="75" w:after="0"/>
      </w:pPr>
      <w:r>
        <w:rPr/>
        <w:t xml:space="preserve">二、客户心理关怀机制嵌入</w:t>
      </w:r>
    </w:p>
    <w:p>
      <w:pPr>
        <w:spacing w:before="75" w:after="0"/>
      </w:pPr>
      <w:r>
        <w:rPr/>
        <w:t xml:space="preserve">三、员工从重复劳动中解放</w:t>
      </w:r>
    </w:p>
    <w:p>
      <w:pPr>
        <w:spacing w:before="75" w:after="0"/>
      </w:pPr>
      <w:r>
        <w:rPr/>
        <w:t xml:space="preserve">第二节 生态化协同发展路径</w:t>
      </w:r>
    </w:p>
    <w:p>
      <w:pPr>
        <w:spacing w:before="75" w:after="0"/>
      </w:pPr>
      <w:r>
        <w:rPr/>
        <w:t xml:space="preserve">一、与征信、评分、诉讼系统打通</w:t>
      </w:r>
    </w:p>
    <w:p>
      <w:pPr>
        <w:spacing w:before="75" w:after="0"/>
      </w:pPr>
      <w:r>
        <w:rPr/>
        <w:t xml:space="preserve">二、参与信用修复与债务重组服务</w:t>
      </w:r>
    </w:p>
    <w:p>
      <w:pPr>
        <w:spacing w:before="75" w:after="0"/>
      </w:pPr>
      <w:r>
        <w:rPr/>
        <w:t xml:space="preserve">三、构建催收-风控-营销闭环</w:t>
      </w:r>
    </w:p>
    <w:p>
      <w:pPr>
        <w:spacing w:before="75" w:after="0"/>
      </w:pPr>
      <w:r>
        <w:rPr/>
        <w:t xml:space="preserve">第三节 2030年远景展望</w:t>
      </w:r>
    </w:p>
    <w:p>
      <w:pPr>
        <w:spacing w:before="75" w:after="0"/>
      </w:pPr>
      <w:r>
        <w:rPr/>
        <w:t xml:space="preserve">一、智能催收成为金融机构标配能力</w:t>
      </w:r>
    </w:p>
    <w:p>
      <w:pPr>
        <w:spacing w:before="75" w:after="0"/>
      </w:pPr>
      <w:r>
        <w:rPr/>
        <w:t xml:space="preserve">二、人机协作模式成为行业主流</w:t>
      </w:r>
    </w:p>
    <w:p>
      <w:pPr>
        <w:spacing w:before="75" w:after="0"/>
      </w:pPr>
      <w:r>
        <w:rPr/>
        <w:t xml:space="preserve">三、行业从“催收”向“信用关系管理”跃迁</w:t>
      </w:r>
    </w:p>
    <w:p>
      <w:pPr>
        <w:spacing w:before="75" w:after="0"/>
      </w:pPr>
      <w:r>
        <w:rPr>
          <w:b w:val="1"/>
          <w:bCs w:val="1"/>
        </w:rPr>
        <w:t xml:space="preserve">图表目录</w:t>
      </w:r>
    </w:p>
    <w:p>
      <w:pPr>
        <w:spacing w:before="75" w:after="0"/>
      </w:pPr>
      <w:r>
        <w:rPr/>
        <w:t xml:space="preserve">图表：2023-2025年全球智能催收系统市场规模</w:t>
      </w:r>
    </w:p>
    <w:p>
      <w:pPr>
        <w:spacing w:before="75" w:after="0"/>
      </w:pPr>
      <w:r>
        <w:rPr/>
        <w:t xml:space="preserve">图表：2023-2025年北美智能催收系统部署率</w:t>
      </w:r>
    </w:p>
    <w:p>
      <w:pPr>
        <w:spacing w:before="75" w:after="0"/>
      </w:pPr>
      <w:r>
        <w:rPr/>
        <w:t xml:space="preserve">图表：2023-2025年欧洲隐私合规型催收系统占比</w:t>
      </w:r>
    </w:p>
    <w:p>
      <w:pPr>
        <w:spacing w:before="75" w:after="0"/>
      </w:pPr>
      <w:r>
        <w:rPr/>
        <w:t xml:space="preserve">图表：2023-2025年亚太地区本地化定制需求增速</w:t>
      </w:r>
    </w:p>
    <w:p>
      <w:pPr>
        <w:spacing w:before="75" w:after="0"/>
      </w:pPr>
      <w:r>
        <w:rPr/>
        <w:t xml:space="preserve">图表：2023-2025年中国智能催收系统总营收规模</w:t>
      </w:r>
    </w:p>
    <w:p>
      <w:pPr>
        <w:spacing w:before="75" w:after="0"/>
      </w:pPr>
      <w:r>
        <w:rPr/>
        <w:t xml:space="preserve">图表：2023-2025年中国saas模式收入占比变化</w:t>
      </w:r>
    </w:p>
    <w:p>
      <w:pPr>
        <w:spacing w:before="75" w:after="0"/>
      </w:pPr>
      <w:r>
        <w:rPr/>
        <w:t xml:space="preserve">图表：2023-2025年定制化项目金额年均增长率</w:t>
      </w:r>
    </w:p>
    <w:p>
      <w:pPr>
        <w:spacing w:before="75" w:after="0"/>
      </w:pPr>
      <w:r>
        <w:rPr/>
        <w:t xml:space="preserve">图表：2023-2025年银行类客户采购份额</w:t>
      </w:r>
    </w:p>
    <w:p>
      <w:pPr>
        <w:spacing w:before="75" w:after="0"/>
      </w:pPr>
      <w:r>
        <w:rPr/>
        <w:t xml:space="preserve">图表：2023-2025年消费金融公司系统更新频率</w:t>
      </w:r>
    </w:p>
    <w:p>
      <w:pPr>
        <w:spacing w:before="75" w:after="0"/>
      </w:pPr>
      <w:r>
        <w:rPr/>
        <w:t xml:space="preserve">图表：2023-2025年互联网平台催收系统自研比例</w:t>
      </w:r>
    </w:p>
    <w:p>
      <w:pPr>
        <w:spacing w:before="75" w:after="0"/>
      </w:pPr>
      <w:r>
        <w:rPr/>
        <w:t xml:space="preserve">图表：2023-2025年公有云部署模式占比</w:t>
      </w:r>
    </w:p>
    <w:p>
      <w:pPr>
        <w:spacing w:before="75" w:after="0"/>
      </w:pPr>
      <w:r>
        <w:rPr/>
        <w:t xml:space="preserve">图表：2023-2025年私有云与混合部署增长趋势</w:t>
      </w:r>
    </w:p>
    <w:p>
      <w:pPr>
        <w:spacing w:before="75" w:after="0"/>
      </w:pPr>
      <w:r>
        <w:rPr/>
        <w:t xml:space="preserve">图表：智能语音外呼系统市场占有率</w:t>
      </w:r>
    </w:p>
    <w:p>
      <w:pPr>
        <w:spacing w:before="75" w:after="0"/>
      </w:pPr>
      <w:r>
        <w:rPr/>
        <w:t xml:space="preserve">图表：多通道消息平台用户采纳率</w:t>
      </w:r>
    </w:p>
    <w:p>
      <w:pPr>
        <w:spacing w:before="75" w:after="0"/>
      </w:pPr>
      <w:r>
        <w:rPr/>
        <w:t xml:space="preserve">图表：策略引擎模块功能完备度评分</w:t>
      </w:r>
    </w:p>
    <w:p>
      <w:pPr>
        <w:spacing w:before="75" w:after="0"/>
      </w:pPr>
      <w:r>
        <w:rPr/>
        <w:t xml:space="preserve">图表：上游asr/tts服务商市场份额</w:t>
      </w:r>
    </w:p>
    <w:p>
      <w:pPr>
        <w:spacing w:before="75" w:after="0"/>
      </w:pPr>
      <w:r>
        <w:rPr/>
        <w:t xml:space="preserve">图表：nlp算法提供商技术成熟度对比</w:t>
      </w:r>
    </w:p>
    <w:p>
      <w:pPr>
        <w:spacing w:before="75" w:after="0"/>
      </w:pPr>
      <w:r>
        <w:rPr/>
        <w:t xml:space="preserve">图表：云计算资源成本占比变化</w:t>
      </w:r>
    </w:p>
    <w:p>
      <w:pPr>
        <w:spacing w:before="75" w:after="0"/>
      </w:pPr>
      <w:r>
        <w:rPr/>
        <w:t xml:space="preserve">图表：催收语料库规模与质量指数</w:t>
      </w:r>
    </w:p>
    <w:p>
      <w:pPr>
        <w:spacing w:before="75" w:after="0"/>
      </w:pPr>
      <w:r>
        <w:rPr/>
        <w:t xml:space="preserve">图表：银行信用卡催收自动化率</w:t>
      </w:r>
    </w:p>
    <w:p>
      <w:pPr>
        <w:spacing w:before="75" w:after="0"/>
      </w:pPr>
      <w:r>
        <w:rPr/>
        <w:t xml:space="preserve">图表：消金公司催收系统与风控联动程度</w:t>
      </w:r>
    </w:p>
    <w:p>
      <w:pPr>
        <w:spacing w:before="75" w:after="0"/>
      </w:pPr>
      <w:r>
        <w:rPr/>
        <w:t xml:space="preserve">图表：助贷平台催收责任划分清晰度</w:t>
      </w:r>
    </w:p>
    <w:p>
      <w:pPr>
        <w:spacing w:before="75" w:after="0"/>
      </w:pPr>
      <w:r>
        <w:rPr/>
        <w:t xml:space="preserve">图表：2023-2025年行业cr3集中度指标</w:t>
      </w:r>
    </w:p>
    <w:p>
      <w:pPr>
        <w:spacing w:before="75" w:after="0"/>
      </w:pPr>
      <w:r>
        <w:rPr/>
        <w:t xml:space="preserve">图表：头部企业研发投入占营收比重</w:t>
      </w:r>
    </w:p>
    <w:p>
      <w:pPr>
        <w:spacing w:before="75" w:after="0"/>
      </w:pPr>
      <w:r>
        <w:rPr/>
        <w:t xml:space="preserve">图表：垂直厂商客户留存率对比</w:t>
      </w:r>
    </w:p>
    <w:p>
      <w:pPr>
        <w:spacing w:before="75" w:after="0"/>
      </w:pPr>
      <w:r>
        <w:rPr/>
        <w:t xml:space="preserve">图表：ai初创企业融资轮次分布</w:t>
      </w:r>
    </w:p>
    <w:p>
      <w:pPr>
        <w:spacing w:before="75" w:after="0"/>
      </w:pPr>
      <w:r>
        <w:rPr/>
        <w:t xml:space="preserve">图表：一次性授权收入占比变化</w:t>
      </w:r>
    </w:p>
    <w:p>
      <w:pPr>
        <w:spacing w:before="75" w:after="0"/>
      </w:pPr>
      <w:r>
        <w:rPr/>
        <w:t xml:space="preserve">图表：saas订阅arr(年度经常性收入)增长</w:t>
      </w:r>
    </w:p>
    <w:p>
      <w:pPr>
        <w:spacing w:before="75" w:after="0"/>
      </w:pPr>
      <w:r>
        <w:rPr/>
        <w:t xml:space="preserve">图表：绩效分成模式回款兑现率</w:t>
      </w:r>
    </w:p>
    <w:p>
      <w:pPr>
        <w:spacing w:before="75" w:after="0"/>
      </w:pPr>
      <w:r>
        <w:rPr/>
        <w:t xml:space="preserve">图表：行业平均毛利率水平</w:t>
      </w:r>
    </w:p>
    <w:p>
      <w:pPr>
        <w:spacing w:before="75" w:after="0"/>
      </w:pPr>
      <w:r>
        <w:rPr/>
        <w:t xml:space="preserve">图表：大模型在催收中应用试点数量</w:t>
      </w:r>
    </w:p>
    <w:p>
      <w:pPr>
        <w:spacing w:before="75" w:after="0"/>
      </w:pPr>
      <w:r>
        <w:rPr/>
        <w:t xml:space="preserve">图表：情绪识别准确率提升趋势</w:t>
      </w:r>
    </w:p>
    <w:p>
      <w:pPr>
        <w:spacing w:before="75" w:after="0"/>
      </w:pPr>
      <w:r>
        <w:rPr/>
        <w:t xml:space="preserve">图表：敏感词实时拦截成功率</w:t>
      </w:r>
    </w:p>
    <w:p>
      <w:pPr>
        <w:spacing w:before="75" w:after="0"/>
      </w:pPr>
      <w:r>
        <w:rPr/>
        <w:t xml:space="preserve">图表：催收系统合规投诉率下降幅度</w:t>
      </w:r>
    </w:p>
    <w:p>
      <w:pPr>
        <w:spacing w:before="75" w:after="0"/>
      </w:pPr>
      <w:r>
        <w:rPr/>
        <w:t xml:space="preserve">图表：2026-2031年中国智能催收系统cagr预测</w:t>
      </w:r>
    </w:p>
    <w:p>
      <w:pPr>
        <w:spacing w:before="75" w:after="0"/>
      </w:pPr>
      <w:r>
        <w:rPr/>
        <w:t xml:space="preserve">图表：2026-2031年saas模式占比预测</w:t>
      </w:r>
    </w:p>
    <w:p>
      <w:pPr>
        <w:spacing w:before="75" w:after="0"/>
      </w:pPr>
      <w:r>
        <w:rPr/>
        <w:t xml:space="preserve">图表：2026-2031年生成式ai催收系统覆盖率预测</w:t>
      </w:r>
    </w:p>
    <w:p>
      <w:pPr>
        <w:spacing w:before="75" w:after="0"/>
      </w:pPr>
      <w:r>
        <w:rPr/>
        <w:t xml:space="preserve">图表：2026-2031年全自动化催收流程普及率预测</w:t>
      </w:r>
    </w:p>
    <w:p>
      <w:pPr>
        <w:spacing w:before="75" w:after="0"/>
      </w:pPr>
      <w:r>
        <w:rPr/>
        <w:t xml:space="preserve">图表：2026-2031年多模态交互系统部署比例预测</w:t>
      </w:r>
    </w:p>
    <w:p>
      <w:pPr>
        <w:spacing w:before="75" w:after="0"/>
      </w:pPr>
      <w:r>
        <w:rPr/>
        <w:t xml:space="preserve">图表：2026-2031年银行客户集中度变化预测</w:t>
      </w:r>
    </w:p>
    <w:p>
      <w:pPr>
        <w:spacing w:before="75" w:after="0"/>
      </w:pPr>
      <w:r>
        <w:rPr/>
        <w:t xml:space="preserve">图表：2026-2031年中小金融机构saas采纳率预测</w:t>
      </w:r>
    </w:p>
    <w:p>
      <w:pPr>
        <w:spacing w:before="75" w:after="0"/>
      </w:pPr>
      <w:r>
        <w:rPr/>
        <w:t xml:space="preserve">图表：2026-2031年定制化需求结构性变化预测</w:t>
      </w:r>
    </w:p>
    <w:p>
      <w:pPr>
        <w:spacing w:before="75" w:after="0"/>
      </w:pPr>
      <w:r>
        <w:rPr/>
        <w:t xml:space="preserve">图表：2023-2025年语音催收ai公司市占率</w:t>
      </w:r>
    </w:p>
    <w:p>
      <w:pPr>
        <w:spacing w:before="75" w:after="0"/>
      </w:pPr>
      <w:r>
        <w:rPr/>
        <w:t xml:space="preserve">图表：2023-2025年策略引擎厂商续约率</w:t>
      </w:r>
    </w:p>
    <w:p>
      <w:pPr>
        <w:spacing w:before="75" w:after="0"/>
      </w:pPr>
      <w:r>
        <w:rPr/>
        <w:t xml:space="preserve">图表：2026-2031年催收效果量化工具市场规模预测</w:t>
      </w:r>
    </w:p>
    <w:p>
      <w:pPr>
        <w:spacing w:before="75" w:after="0"/>
      </w:pPr>
      <w:r>
        <w:rPr/>
        <w:t xml:space="preserve">图表：2026-2031年合规科技模块渗透率预测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2026-2031年中国智能催收系统行业发展趋势及投资前景分析报告</dc:title>
  <dc:description>2026-2031年中国智能催收系统行业发展趋势及投资前景分析报告</dc:description>
  <dc:subject>2026-2031年中国智能催收系统行业发展趋势及投资前景分析报告</dc:subject>
  <cp:keywords>研究报告</cp:keywords>
  <cp:category>研究报告</cp:category>
  <cp:lastModifiedBy>北京中道泰和信息咨询有限公司</cp:lastModifiedBy>
  <dcterms:created xsi:type="dcterms:W3CDTF">2026-03-31T11:15:47+08:00</dcterms:created>
  <dcterms:modified xsi:type="dcterms:W3CDTF">2026-03-31T11:15:47+08:00</dcterms:modified>
</cp:coreProperties>
</file>

<file path=docProps/custom.xml><?xml version="1.0" encoding="utf-8"?>
<Properties xmlns="http://schemas.openxmlformats.org/officeDocument/2006/custom-properties" xmlns:vt="http://schemas.openxmlformats.org/officeDocument/2006/docPropsVTypes"/>
</file>