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2026-2031年银行催收服务行业市场现状分析及投资前景预测报告</w:t>
      </w:r>
    </w:p>
    <w:p>
      <w:pPr>
        <w:spacing w:after="150"/>
      </w:pPr>
      <w:r>
        <w:rPr>
          <w:b w:val="1"/>
          <w:bCs w:val="1"/>
        </w:rPr>
        <w:t xml:space="preserve">报告简介</w:t>
      </w:r>
    </w:p>
    <w:p>
      <w:pPr>
        <w:spacing w:after="150"/>
      </w:pPr>
      <w:r>
        <w:rPr/>
        <w:t xml:space="preserve">银行催收服务是银行等金融机构在借贷关系中，针对借款人未按合同约定履行还款义务时，通过合法手段督促其偿还逾期欠款的专业化服务。其核心职能是保障金融机构资金安全，降低不良贷款率，维护金融秩序稳定。作为贷后管理的重要环节，催收服务贯穿于信用风险缓释的全流程，既包含对非恶意逾期客户的柔性提醒，也涵盖对恶意拖欠行为的刚性追偿。</w:t>
      </w:r>
    </w:p>
    <w:p>
      <w:pPr>
        <w:spacing w:after="150"/>
      </w:pPr>
      <w:r>
        <w:rPr/>
        <w:t xml:space="preserve">从法律属性看，银行催收服务属于单方民事法律行为，银行作为债权人无需债务人同意即可主张债权，但必须严格遵循《民法典》《商业银行信用卡业务监督管理办法》等法律法规，禁止采用暴力、威胁、侮辱等非法手段。催收行为需通过有效送达确保债务人知悉，其法律意义在于中断诉讼时效，保障银行胜诉权。实际操作中，催收服务通常遵循分层递进原则：初期以电话、短信等非侵入性方式提醒还款，兼顾效率与隐私保护;逾期较久后可能采取上门催收，但需遵守《个人信息保护法》关于隐私权的规定;若债务人仍不履行，银行可依法委托专业催收机构或通过法律途径追讨，包括申请支付令、提起民事诉讼等。</w:t>
      </w:r>
    </w:p>
    <w:p>
      <w:pPr>
        <w:spacing w:after="150"/>
      </w:pPr>
      <w:r>
        <w:rPr/>
        <w:t xml:space="preserve">作为金融产业链的延伸环节，银行催收服务具有双重属性：一方面，它是金融机构风险控制的必要手段，通过专业化催收降低资产损失;另一方面，它是金融服务外包的重要领域，银行将催收业务委托给第三方机构时，双方权利义务通过委托合同界定，但需接受监管部门对催收行为合规性的监督。随着金融科技的发展，智能催收系统、大数据风控模型等技术手段的应用，正在推动银行催收服务向精准化、合规化方向演进，既提升催收效率，又强化对债务人合法权益的保护。</w:t>
      </w:r>
    </w:p>
    <w:p>
      <w:pPr>
        <w:spacing w:after="150"/>
      </w:pPr>
      <w:r>
        <w:rPr/>
        <w:t xml:space="preserve">银行催收服务行业研究报告主要分析了银行催收服务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银行催收服务行业重点企业分析、子行业分析、区域市场分析、行业风险分析、行业发展前景预测及相关的经营、投资建议等。报告研究框架全面、严谨，分析内容客观、公正、系统，真实准确地反映了我国银行催收服务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银行催收服务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银行催收服务行业概述</w:t>
      </w:r>
    </w:p>
    <w:p>
      <w:pPr>
        <w:spacing w:before="75" w:after="0"/>
      </w:pPr>
      <w:r>
        <w:rPr/>
        <w:t xml:space="preserve">第一节 行业定义与核心内涵</w:t>
      </w:r>
    </w:p>
    <w:p>
      <w:pPr>
        <w:spacing w:before="75" w:after="0"/>
      </w:pPr>
      <w:r>
        <w:rPr/>
        <w:t xml:space="preserve">一、银行催收服务的基本概念与业务边界</w:t>
      </w:r>
    </w:p>
    <w:p>
      <w:pPr>
        <w:spacing w:before="75" w:after="0"/>
      </w:pPr>
      <w:r>
        <w:rPr/>
        <w:t xml:space="preserve">二、在信贷全生命周期管理中的功能定位</w:t>
      </w:r>
    </w:p>
    <w:p>
      <w:pPr>
        <w:spacing w:before="75" w:after="0"/>
      </w:pPr>
      <w:r>
        <w:rPr/>
        <w:t xml:space="preserve">三、与非银机构催收服务的本质区别</w:t>
      </w:r>
    </w:p>
    <w:p>
      <w:pPr>
        <w:spacing w:before="75" w:after="0"/>
      </w:pPr>
      <w:r>
        <w:rPr/>
        <w:t xml:space="preserve">第二节 行业发展演进路径</w:t>
      </w:r>
    </w:p>
    <w:p>
      <w:pPr>
        <w:spacing w:before="75" w:after="0"/>
      </w:pPr>
      <w:r>
        <w:rPr/>
        <w:t xml:space="preserve">一、人工电话催收主导阶段</w:t>
      </w:r>
    </w:p>
    <w:p>
      <w:pPr>
        <w:spacing w:before="75" w:after="0"/>
      </w:pPr>
      <w:r>
        <w:rPr/>
        <w:t xml:space="preserve">二、外包合作与流程标准化阶段</w:t>
      </w:r>
    </w:p>
    <w:p>
      <w:pPr>
        <w:spacing w:before="75" w:after="0"/>
      </w:pPr>
      <w:r>
        <w:rPr/>
        <w:t xml:space="preserve">三、智能化、合规化深度融合阶段</w:t>
      </w:r>
    </w:p>
    <w:p>
      <w:pPr>
        <w:spacing w:before="75" w:after="0"/>
      </w:pPr>
      <w:r>
        <w:rPr/>
        <w:t xml:space="preserve">第三节 服务模式分类体系</w:t>
      </w:r>
    </w:p>
    <w:p>
      <w:pPr>
        <w:spacing w:before="75" w:after="0"/>
      </w:pPr>
      <w:r>
        <w:rPr/>
        <w:t xml:space="preserve">一、银行自建团队执行模式</w:t>
      </w:r>
    </w:p>
    <w:p>
      <w:pPr>
        <w:spacing w:before="75" w:after="0"/>
      </w:pPr>
      <w:r>
        <w:rPr/>
        <w:t xml:space="preserve">二、委托第三方专业机构模式</w:t>
      </w:r>
    </w:p>
    <w:p>
      <w:pPr>
        <w:spacing w:before="75" w:after="0"/>
      </w:pPr>
      <w:r>
        <w:rPr/>
        <w:t xml:space="preserve">三、科技赋能的联合运营模式</w:t>
      </w:r>
    </w:p>
    <w:p>
      <w:pPr>
        <w:spacing w:before="75" w:after="0"/>
      </w:pPr>
      <w:r>
        <w:rPr>
          <w:b w:val="1"/>
          <w:bCs w:val="1"/>
        </w:rPr>
        <w:t xml:space="preserve">第二章 全球银行催收服务行业发展态势分析</w:t>
      </w:r>
    </w:p>
    <w:p>
      <w:pPr>
        <w:spacing w:before="75" w:after="0"/>
      </w:pPr>
      <w:r>
        <w:rPr/>
        <w:t xml:space="preserve">第一节 全球市场规模与区域格局</w:t>
      </w:r>
    </w:p>
    <w:p>
      <w:pPr>
        <w:spacing w:before="75" w:after="0"/>
      </w:pPr>
      <w:r>
        <w:rPr/>
        <w:t xml:space="preserve">一、全球银行催收服务总支出规模及增长趋势</w:t>
      </w:r>
    </w:p>
    <w:p>
      <w:pPr>
        <w:spacing w:before="75" w:after="0"/>
      </w:pPr>
      <w:r>
        <w:rPr/>
        <w:t xml:space="preserve">二、北美、欧洲成熟市场效率与技术应用水平</w:t>
      </w:r>
    </w:p>
    <w:p>
      <w:pPr>
        <w:spacing w:before="75" w:after="0"/>
      </w:pPr>
      <w:r>
        <w:rPr/>
        <w:t xml:space="preserve">三、亚太及其他新兴市场体系建设进展</w:t>
      </w:r>
    </w:p>
    <w:p>
      <w:pPr>
        <w:spacing w:before="75" w:after="0"/>
      </w:pPr>
      <w:r>
        <w:rPr/>
        <w:t xml:space="preserve">第二节 技术创新与应用方向</w:t>
      </w:r>
    </w:p>
    <w:p>
      <w:pPr>
        <w:spacing w:before="75" w:after="0"/>
      </w:pPr>
      <w:r>
        <w:rPr/>
        <w:t xml:space="preserve">一、人工智能在客户分群与策略分配中的深化</w:t>
      </w:r>
    </w:p>
    <w:p>
      <w:pPr>
        <w:spacing w:before="75" w:after="0"/>
      </w:pPr>
      <w:r>
        <w:rPr/>
        <w:t xml:space="preserve">二、自动化语音外呼与自然语言处理普及</w:t>
      </w:r>
    </w:p>
    <w:p>
      <w:pPr>
        <w:spacing w:before="75" w:after="0"/>
      </w:pPr>
      <w:r>
        <w:rPr/>
        <w:t xml:space="preserve">三、数据驱动的还款意愿与能力预测模型</w:t>
      </w:r>
    </w:p>
    <w:p>
      <w:pPr>
        <w:spacing w:before="75" w:after="0"/>
      </w:pPr>
      <w:r>
        <w:rPr/>
        <w:t xml:space="preserve">第三节 国际领先实践与模式借鉴</w:t>
      </w:r>
    </w:p>
    <w:p>
      <w:pPr>
        <w:spacing w:before="75" w:after="0"/>
      </w:pPr>
      <w:r>
        <w:rPr/>
        <w:t xml:space="preserve">一、大型跨国银行催收组织架构特征</w:t>
      </w:r>
    </w:p>
    <w:p>
      <w:pPr>
        <w:spacing w:before="75" w:after="0"/>
      </w:pPr>
      <w:r>
        <w:rPr/>
        <w:t xml:space="preserve">二、区域性银行本地化催收策略适配</w:t>
      </w:r>
    </w:p>
    <w:p>
      <w:pPr>
        <w:spacing w:before="75" w:after="0"/>
      </w:pPr>
      <w:r>
        <w:rPr/>
        <w:t xml:space="preserve">三、跨境逾期资产协同处置机制探索</w:t>
      </w:r>
    </w:p>
    <w:p>
      <w:pPr>
        <w:spacing w:before="75" w:after="0"/>
      </w:pPr>
      <w:r>
        <w:rPr>
          <w:b w:val="1"/>
          <w:bCs w:val="1"/>
        </w:rPr>
        <w:t xml:space="preserve">第三章 中国宏观经济与金融环境对行业的影响</w:t>
      </w:r>
    </w:p>
    <w:p>
      <w:pPr>
        <w:spacing w:before="75" w:after="0"/>
      </w:pPr>
      <w:r>
        <w:rPr/>
        <w:t xml:space="preserve">第一节 信贷资产质量压力传导</w:t>
      </w:r>
    </w:p>
    <w:p>
      <w:pPr>
        <w:spacing w:before="75" w:after="0"/>
      </w:pPr>
      <w:r>
        <w:rPr/>
        <w:t xml:space="preserve">一、居民杠杆率变化对零售贷款违约影响</w:t>
      </w:r>
    </w:p>
    <w:p>
      <w:pPr>
        <w:spacing w:before="75" w:after="0"/>
      </w:pPr>
      <w:r>
        <w:rPr/>
        <w:t xml:space="preserve">二、小微企业经营波动引发信用风险上升</w:t>
      </w:r>
    </w:p>
    <w:p>
      <w:pPr>
        <w:spacing w:before="75" w:after="0"/>
      </w:pPr>
      <w:r>
        <w:rPr/>
        <w:t xml:space="preserve">三、房地产相关贷款逾期向银行端传导</w:t>
      </w:r>
    </w:p>
    <w:p>
      <w:pPr>
        <w:spacing w:before="75" w:after="0"/>
      </w:pPr>
      <w:r>
        <w:rPr/>
        <w:t xml:space="preserve">第二节 合规与消费者保护要求强化</w:t>
      </w:r>
    </w:p>
    <w:p>
      <w:pPr>
        <w:spacing w:before="75" w:after="0"/>
      </w:pPr>
      <w:r>
        <w:rPr/>
        <w:t xml:space="preserve">一、个人信息处理规范对催收行为约束</w:t>
      </w:r>
    </w:p>
    <w:p>
      <w:pPr>
        <w:spacing w:before="75" w:after="0"/>
      </w:pPr>
      <w:r>
        <w:rPr/>
        <w:t xml:space="preserve">二、司法执行效率对诉讼前催收效果影响</w:t>
      </w:r>
    </w:p>
    <w:p>
      <w:pPr>
        <w:spacing w:before="75" w:after="0"/>
      </w:pPr>
      <w:r>
        <w:rPr/>
        <w:t xml:space="preserve">三、金融消费者投诉响应机制完善</w:t>
      </w:r>
    </w:p>
    <w:p>
      <w:pPr>
        <w:spacing w:before="75" w:after="0"/>
      </w:pPr>
      <w:r>
        <w:rPr/>
        <w:t xml:space="preserve">第三节 金融机构数字化转型加速</w:t>
      </w:r>
    </w:p>
    <w:p>
      <w:pPr>
        <w:spacing w:before="75" w:after="0"/>
      </w:pPr>
      <w:r>
        <w:rPr/>
        <w:t xml:space="preserve">一、银行科技投入向贷后管理环节延伸</w:t>
      </w:r>
    </w:p>
    <w:p>
      <w:pPr>
        <w:spacing w:before="75" w:after="0"/>
      </w:pPr>
      <w:r>
        <w:rPr/>
        <w:t xml:space="preserve">二、风控-催收-核销闭环系统建设需求提升</w:t>
      </w:r>
    </w:p>
    <w:p>
      <w:pPr>
        <w:spacing w:before="75" w:after="0"/>
      </w:pPr>
      <w:r>
        <w:rPr/>
        <w:t xml:space="preserve">三、开放接口推动催收数据与外部生态融合</w:t>
      </w:r>
    </w:p>
    <w:p>
      <w:pPr>
        <w:spacing w:before="75" w:after="0"/>
      </w:pPr>
      <w:r>
        <w:rPr>
          <w:b w:val="1"/>
          <w:bCs w:val="1"/>
        </w:rPr>
        <w:t xml:space="preserve">第四章 中国银行催收服务行业市场规模与结构分析</w:t>
      </w:r>
    </w:p>
    <w:p>
      <w:pPr>
        <w:spacing w:before="75" w:after="0"/>
      </w:pPr>
      <w:r>
        <w:rPr/>
        <w:t xml:space="preserve">第一节 市场总体规模测算</w:t>
      </w:r>
    </w:p>
    <w:p>
      <w:pPr>
        <w:spacing w:before="75" w:after="0"/>
      </w:pPr>
      <w:r>
        <w:rPr/>
        <w:t xml:space="preserve">一、银行催收总投入金额(含自建与外包)</w:t>
      </w:r>
    </w:p>
    <w:p>
      <w:pPr>
        <w:spacing w:before="75" w:after="0"/>
      </w:pPr>
      <w:r>
        <w:rPr/>
        <w:t xml:space="preserve">二、委托第三方机构案件总量</w:t>
      </w:r>
    </w:p>
    <w:p>
      <w:pPr>
        <w:spacing w:before="75" w:after="0"/>
      </w:pPr>
      <w:r>
        <w:rPr/>
        <w:t xml:space="preserve">三、年度回款金额与整体回收率水平</w:t>
      </w:r>
    </w:p>
    <w:p>
      <w:pPr>
        <w:spacing w:before="75" w:after="0"/>
      </w:pPr>
      <w:r>
        <w:rPr/>
        <w:t xml:space="preserve">第二节 市场细分维度</w:t>
      </w:r>
    </w:p>
    <w:p>
      <w:pPr>
        <w:spacing w:before="75" w:after="0"/>
      </w:pPr>
      <w:r>
        <w:rPr/>
        <w:t xml:space="preserve">一、按债务类型</w:t>
      </w:r>
    </w:p>
    <w:p>
      <w:pPr>
        <w:spacing w:before="75" w:after="0"/>
      </w:pPr>
      <w:r>
        <w:rPr/>
        <w:t xml:space="preserve">二、按逾期阶段</w:t>
      </w:r>
    </w:p>
    <w:p>
      <w:pPr>
        <w:spacing w:before="75" w:after="0"/>
      </w:pPr>
      <w:r>
        <w:rPr/>
        <w:t xml:space="preserve">三、按服务方式</w:t>
      </w:r>
    </w:p>
    <w:p>
      <w:pPr>
        <w:spacing w:before="75" w:after="0"/>
      </w:pPr>
      <w:r>
        <w:rPr/>
        <w:t xml:space="preserve">第三节 区域分布特征</w:t>
      </w:r>
    </w:p>
    <w:p>
      <w:pPr>
        <w:spacing w:before="75" w:after="0"/>
      </w:pPr>
      <w:r>
        <w:rPr/>
        <w:t xml:space="preserve">一、东部沿海地区银行催收资源高度集中</w:t>
      </w:r>
    </w:p>
    <w:p>
      <w:pPr>
        <w:spacing w:before="75" w:after="0"/>
      </w:pPr>
      <w:r>
        <w:rPr/>
        <w:t xml:space="preserve">二、中部城商行与农商行能力建设提速</w:t>
      </w:r>
    </w:p>
    <w:p>
      <w:pPr>
        <w:spacing w:before="75" w:after="0"/>
      </w:pPr>
      <w:r>
        <w:rPr/>
        <w:t xml:space="preserve">三、西部地区对外包服务商依赖度较高</w:t>
      </w:r>
    </w:p>
    <w:p>
      <w:pPr>
        <w:spacing w:before="75" w:after="0"/>
      </w:pPr>
      <w:r>
        <w:rPr>
          <w:b w:val="1"/>
          <w:bCs w:val="1"/>
        </w:rPr>
        <w:t xml:space="preserve">第五章 银行催收服务产品与技术分类体系</w:t>
      </w:r>
    </w:p>
    <w:p>
      <w:pPr>
        <w:spacing w:before="75" w:after="0"/>
      </w:pPr>
      <w:r>
        <w:rPr/>
        <w:t xml:space="preserve">第一节 按服务形态分类</w:t>
      </w:r>
    </w:p>
    <w:p>
      <w:pPr>
        <w:spacing w:before="75" w:after="0"/>
      </w:pPr>
      <w:r>
        <w:rPr/>
        <w:t xml:space="preserve">一、全流程外包催收服务</w:t>
      </w:r>
    </w:p>
    <w:p>
      <w:pPr>
        <w:spacing w:before="75" w:after="0"/>
      </w:pPr>
      <w:r>
        <w:rPr/>
        <w:t xml:space="preserve">二、分阶段委托</w:t>
      </w:r>
    </w:p>
    <w:p>
      <w:pPr>
        <w:spacing w:before="75" w:after="0"/>
      </w:pPr>
      <w:r>
        <w:rPr/>
        <w:t xml:space="preserve">三、技术支持型联合运营服务</w:t>
      </w:r>
    </w:p>
    <w:p>
      <w:pPr>
        <w:spacing w:before="75" w:after="0"/>
      </w:pPr>
      <w:r>
        <w:rPr/>
        <w:t xml:space="preserve">第二节 按技术工具分类</w:t>
      </w:r>
    </w:p>
    <w:p>
      <w:pPr>
        <w:spacing w:before="75" w:after="0"/>
      </w:pPr>
      <w:r>
        <w:rPr/>
        <w:t xml:space="preserve">一、智能语音外呼系统</w:t>
      </w:r>
    </w:p>
    <w:p>
      <w:pPr>
        <w:spacing w:before="75" w:after="0"/>
      </w:pPr>
      <w:r>
        <w:rPr/>
        <w:t xml:space="preserve">二、短信/邮件/app多通道消息平台</w:t>
      </w:r>
    </w:p>
    <w:p>
      <w:pPr>
        <w:spacing w:before="75" w:after="0"/>
      </w:pPr>
      <w:r>
        <w:rPr/>
        <w:t xml:space="preserve">三、催收策略引擎与动态决策支持系统</w:t>
      </w:r>
    </w:p>
    <w:p>
      <w:pPr>
        <w:spacing w:before="75" w:after="0"/>
      </w:pPr>
      <w:r>
        <w:rPr/>
        <w:t xml:space="preserve">第三节 按合规与风控集成度分类</w:t>
      </w:r>
    </w:p>
    <w:p>
      <w:pPr>
        <w:spacing w:before="75" w:after="0"/>
      </w:pPr>
      <w:r>
        <w:rPr/>
        <w:t xml:space="preserve">一、基础催收执行服务</w:t>
      </w:r>
    </w:p>
    <w:p>
      <w:pPr>
        <w:spacing w:before="75" w:after="0"/>
      </w:pPr>
      <w:r>
        <w:rPr/>
        <w:t xml:space="preserve">二、嵌入行为监控与反欺诈模块</w:t>
      </w:r>
    </w:p>
    <w:p>
      <w:pPr>
        <w:spacing w:before="75" w:after="0"/>
      </w:pPr>
      <w:r>
        <w:rPr/>
        <w:t xml:space="preserve">三、全链路操作审计与司法证据保全服务</w:t>
      </w:r>
    </w:p>
    <w:p>
      <w:pPr>
        <w:spacing w:before="75" w:after="0"/>
      </w:pPr>
      <w:r>
        <w:rPr>
          <w:b w:val="1"/>
          <w:bCs w:val="1"/>
        </w:rPr>
        <w:t xml:space="preserve">第六章 银行催收服务行业上游供应链分析</w:t>
      </w:r>
    </w:p>
    <w:p>
      <w:pPr>
        <w:spacing w:before="75" w:after="0"/>
      </w:pPr>
      <w:r>
        <w:rPr/>
        <w:t xml:space="preserve">第一节 技术与系统供应商</w:t>
      </w:r>
    </w:p>
    <w:p>
      <w:pPr>
        <w:spacing w:before="75" w:after="0"/>
      </w:pPr>
      <w:r>
        <w:rPr/>
        <w:t xml:space="preserve">一、催收saas平台开发商</w:t>
      </w:r>
    </w:p>
    <w:p>
      <w:pPr>
        <w:spacing w:before="75" w:after="0"/>
      </w:pPr>
      <w:r>
        <w:rPr/>
        <w:t xml:space="preserve">二、ai语音识别与自然语言处理算法提供商</w:t>
      </w:r>
    </w:p>
    <w:p>
      <w:pPr>
        <w:spacing w:before="75" w:after="0"/>
      </w:pPr>
      <w:r>
        <w:rPr/>
        <w:t xml:space="preserve">三、合规科技(regtech)解决方案服务商</w:t>
      </w:r>
    </w:p>
    <w:p>
      <w:pPr>
        <w:spacing w:before="75" w:after="0"/>
      </w:pPr>
      <w:r>
        <w:rPr/>
        <w:t xml:space="preserve">第二节 人力资源供给体系</w:t>
      </w:r>
    </w:p>
    <w:p>
      <w:pPr>
        <w:spacing w:before="75" w:after="0"/>
      </w:pPr>
      <w:r>
        <w:rPr/>
        <w:t xml:space="preserve">一、催收专员职业培训与认证机制</w:t>
      </w:r>
    </w:p>
    <w:p>
      <w:pPr>
        <w:spacing w:before="75" w:after="0"/>
      </w:pPr>
      <w:r>
        <w:rPr/>
        <w:t xml:space="preserve">二、外包人力平台合作模式与弹性用工</w:t>
      </w:r>
    </w:p>
    <w:p>
      <w:pPr>
        <w:spacing w:before="75" w:after="0"/>
      </w:pPr>
      <w:r>
        <w:rPr/>
        <w:t xml:space="preserve">三、人员流动性、薪酬结构与留存率</w:t>
      </w:r>
    </w:p>
    <w:p>
      <w:pPr>
        <w:spacing w:before="75" w:after="0"/>
      </w:pPr>
      <w:r>
        <w:rPr/>
        <w:t xml:space="preserve">第三节 数据与基础设施支撑</w:t>
      </w:r>
    </w:p>
    <w:p>
      <w:pPr>
        <w:spacing w:before="75" w:after="0"/>
      </w:pPr>
      <w:r>
        <w:rPr/>
        <w:t xml:space="preserve">一、征信、运营商及行为数据合规接入</w:t>
      </w:r>
    </w:p>
    <w:p>
      <w:pPr>
        <w:spacing w:before="75" w:after="0"/>
      </w:pPr>
      <w:r>
        <w:rPr/>
        <w:t xml:space="preserve">二、云通信资源与呼叫中心基础设施</w:t>
      </w:r>
    </w:p>
    <w:p>
      <w:pPr>
        <w:spacing w:before="75" w:after="0"/>
      </w:pPr>
      <w:r>
        <w:rPr/>
        <w:t xml:space="preserve">三、隐私计算与数据脱敏技术应用进展</w:t>
      </w:r>
    </w:p>
    <w:p>
      <w:pPr>
        <w:spacing w:before="75" w:after="0"/>
      </w:pPr>
      <w:r>
        <w:rPr>
          <w:b w:val="1"/>
          <w:bCs w:val="1"/>
        </w:rPr>
        <w:t xml:space="preserve">第七章 银行催收服务下游应用场景分析</w:t>
      </w:r>
    </w:p>
    <w:p>
      <w:pPr>
        <w:spacing w:before="75" w:after="0"/>
      </w:pPr>
      <w:r>
        <w:rPr/>
        <w:t xml:space="preserve">第一节 信用卡中心催收需求特征</w:t>
      </w:r>
    </w:p>
    <w:p>
      <w:pPr>
        <w:spacing w:before="75" w:after="0"/>
      </w:pPr>
      <w:r>
        <w:rPr/>
        <w:t xml:space="preserve">一、高频小额逾期案件处理压力</w:t>
      </w:r>
    </w:p>
    <w:p>
      <w:pPr>
        <w:spacing w:before="75" w:after="0"/>
      </w:pPr>
      <w:r>
        <w:rPr/>
        <w:t xml:space="preserve">二、客户体验与催收强度平衡机制</w:t>
      </w:r>
    </w:p>
    <w:p>
      <w:pPr>
        <w:spacing w:before="75" w:after="0"/>
      </w:pPr>
      <w:r>
        <w:rPr/>
        <w:t xml:space="preserve">三、与积分、分期、减免等权益联动策略</w:t>
      </w:r>
    </w:p>
    <w:p>
      <w:pPr>
        <w:spacing w:before="75" w:after="0"/>
      </w:pPr>
      <w:r>
        <w:rPr/>
        <w:t xml:space="preserve">第二节 零售银行个人贷款催收</w:t>
      </w:r>
    </w:p>
    <w:p>
      <w:pPr>
        <w:spacing w:before="75" w:after="0"/>
      </w:pPr>
      <w:r>
        <w:rPr/>
        <w:t xml:space="preserve">一、线上化消费贷产品多样化带来的复杂性</w:t>
      </w:r>
    </w:p>
    <w:p>
      <w:pPr>
        <w:spacing w:before="75" w:after="0"/>
      </w:pPr>
      <w:r>
        <w:rPr/>
        <w:t xml:space="preserve">二、身份核实与联系有效性挑战</w:t>
      </w:r>
    </w:p>
    <w:p>
      <w:pPr>
        <w:spacing w:before="75" w:after="0"/>
      </w:pPr>
      <w:r>
        <w:rPr/>
        <w:t xml:space="preserve">三、个性化还款方案协商与执行</w:t>
      </w:r>
    </w:p>
    <w:p>
      <w:pPr>
        <w:spacing w:before="75" w:after="0"/>
      </w:pPr>
      <w:r>
        <w:rPr/>
        <w:t xml:space="preserve">第三节 对公及小微企业贷款催收</w:t>
      </w:r>
    </w:p>
    <w:p>
      <w:pPr>
        <w:spacing w:before="75" w:after="0"/>
      </w:pPr>
      <w:r>
        <w:rPr/>
        <w:t xml:space="preserve">一、企业主连带责任下的催收路径</w:t>
      </w:r>
    </w:p>
    <w:p>
      <w:pPr>
        <w:spacing w:before="75" w:after="0"/>
      </w:pPr>
      <w:r>
        <w:rPr/>
        <w:t xml:space="preserve">二、抵押物处置前的沟通协调需求</w:t>
      </w:r>
    </w:p>
    <w:p>
      <w:pPr>
        <w:spacing w:before="75" w:after="0"/>
      </w:pPr>
      <w:r>
        <w:rPr/>
        <w:t xml:space="preserve">三、区域经济波动对回款确定性影响</w:t>
      </w:r>
    </w:p>
    <w:p>
      <w:pPr>
        <w:spacing w:before="75" w:after="0"/>
      </w:pPr>
      <w:r>
        <w:rPr>
          <w:b w:val="1"/>
          <w:bCs w:val="1"/>
        </w:rPr>
        <w:t xml:space="preserve">第八章 行业竞争格局分析</w:t>
      </w:r>
    </w:p>
    <w:p>
      <w:pPr>
        <w:spacing w:before="75" w:after="0"/>
      </w:pPr>
      <w:r>
        <w:rPr/>
        <w:t xml:space="preserve">第一节 市场集中度与梯队划分</w:t>
      </w:r>
    </w:p>
    <w:p>
      <w:pPr>
        <w:spacing w:before="75" w:after="0"/>
      </w:pPr>
      <w:r>
        <w:rPr/>
        <w:t xml:space="preserve">一、头部综合服务商占据高端市场份额</w:t>
      </w:r>
    </w:p>
    <w:p>
      <w:pPr>
        <w:spacing w:before="75" w:after="0"/>
      </w:pPr>
      <w:r>
        <w:rPr/>
        <w:t xml:space="preserve">二、垂直技术型厂商聚焦细分环节</w:t>
      </w:r>
    </w:p>
    <w:p>
      <w:pPr>
        <w:spacing w:before="75" w:after="0"/>
      </w:pPr>
      <w:r>
        <w:rPr/>
        <w:t xml:space="preserve">三、区域性中小机构逐步整合或退出</w:t>
      </w:r>
    </w:p>
    <w:p>
      <w:pPr>
        <w:spacing w:before="75" w:after="0"/>
      </w:pPr>
      <w:r>
        <w:rPr/>
        <w:t xml:space="preserve">第二节 主要竞争主体类型</w:t>
      </w:r>
    </w:p>
    <w:p>
      <w:pPr>
        <w:spacing w:before="75" w:after="0"/>
      </w:pPr>
      <w:r>
        <w:rPr/>
        <w:t xml:space="preserve">一、金融集团旗下的科技子公司</w:t>
      </w:r>
    </w:p>
    <w:p>
      <w:pPr>
        <w:spacing w:before="75" w:after="0"/>
      </w:pPr>
      <w:r>
        <w:rPr/>
        <w:t xml:space="preserve">二、独立第三方催收科技企业</w:t>
      </w:r>
    </w:p>
    <w:p>
      <w:pPr>
        <w:spacing w:before="75" w:after="0"/>
      </w:pPr>
      <w:r>
        <w:rPr/>
        <w:t xml:space="preserve">三、传统it服务商转型进入者</w:t>
      </w:r>
    </w:p>
    <w:p>
      <w:pPr>
        <w:spacing w:before="75" w:after="0"/>
      </w:pPr>
      <w:r>
        <w:rPr/>
        <w:t xml:space="preserve">四、专注银行客户的催收外包公司</w:t>
      </w:r>
    </w:p>
    <w:p>
      <w:pPr>
        <w:spacing w:before="75" w:after="0"/>
      </w:pPr>
      <w:r>
        <w:rPr/>
        <w:t xml:space="preserve">第三节 竞争焦点演变趋势</w:t>
      </w:r>
    </w:p>
    <w:p>
      <w:pPr>
        <w:spacing w:before="75" w:after="0"/>
      </w:pPr>
      <w:r>
        <w:rPr/>
        <w:t xml:space="preserve">一、从人力规模竞争转向技术效能竞争</w:t>
      </w:r>
    </w:p>
    <w:p>
      <w:pPr>
        <w:spacing w:before="75" w:after="0"/>
      </w:pPr>
      <w:r>
        <w:rPr/>
        <w:t xml:space="preserve">二、从单一催收向贷后综合管理延伸</w:t>
      </w:r>
    </w:p>
    <w:p>
      <w:pPr>
        <w:spacing w:before="75" w:after="0"/>
      </w:pPr>
      <w:r>
        <w:rPr/>
        <w:t xml:space="preserve">三、合规能力成为核心准入与续约门槛</w:t>
      </w:r>
    </w:p>
    <w:p>
      <w:pPr>
        <w:spacing w:before="75" w:after="0"/>
      </w:pPr>
      <w:r>
        <w:rPr>
          <w:b w:val="1"/>
          <w:bCs w:val="1"/>
        </w:rPr>
        <w:t xml:space="preserve">第九章 行业商业模式与盈利结构分析</w:t>
      </w:r>
    </w:p>
    <w:p>
      <w:pPr>
        <w:spacing w:before="75" w:after="0"/>
      </w:pPr>
      <w:r>
        <w:rPr/>
        <w:t xml:space="preserve">第一节 收入模式构成</w:t>
      </w:r>
    </w:p>
    <w:p>
      <w:pPr>
        <w:spacing w:before="75" w:after="0"/>
      </w:pPr>
      <w:r>
        <w:rPr/>
        <w:t xml:space="preserve">一、按实际回款金额比例分成</w:t>
      </w:r>
    </w:p>
    <w:p>
      <w:pPr>
        <w:spacing w:before="75" w:after="0"/>
      </w:pPr>
      <w:r>
        <w:rPr/>
        <w:t xml:space="preserve">二、固定服务费叠加绩效奖励机制</w:t>
      </w:r>
    </w:p>
    <w:p>
      <w:pPr>
        <w:spacing w:before="75" w:after="0"/>
      </w:pPr>
      <w:r>
        <w:rPr/>
        <w:t xml:space="preserve">三、系统授权、saas订阅及咨询收入</w:t>
      </w:r>
    </w:p>
    <w:p>
      <w:pPr>
        <w:spacing w:before="75" w:after="0"/>
      </w:pPr>
      <w:r>
        <w:rPr/>
        <w:t xml:space="preserve">第二节 成本结构要素</w:t>
      </w:r>
    </w:p>
    <w:p>
      <w:pPr>
        <w:spacing w:before="75" w:after="0"/>
      </w:pPr>
      <w:r>
        <w:rPr/>
        <w:t xml:space="preserve">一、人力成本(催收员、质检、管理)占比</w:t>
      </w:r>
    </w:p>
    <w:p>
      <w:pPr>
        <w:spacing w:before="75" w:after="0"/>
      </w:pPr>
      <w:r>
        <w:rPr/>
        <w:t xml:space="preserve">二、技术平台开发与运维支出</w:t>
      </w:r>
    </w:p>
    <w:p>
      <w:pPr>
        <w:spacing w:before="75" w:after="0"/>
      </w:pPr>
      <w:r>
        <w:rPr/>
        <w:t xml:space="preserve">三、合规、法律及审计事务费用</w:t>
      </w:r>
    </w:p>
    <w:p>
      <w:pPr>
        <w:spacing w:before="75" w:after="0"/>
      </w:pPr>
      <w:r>
        <w:rPr/>
        <w:t xml:space="preserve">第三节 盈利能力评估指标</w:t>
      </w:r>
    </w:p>
    <w:p>
      <w:pPr>
        <w:spacing w:before="75" w:after="0"/>
      </w:pPr>
      <w:r>
        <w:rPr/>
        <w:t xml:space="preserve">一、毛利率水平与客户类型关联性</w:t>
      </w:r>
    </w:p>
    <w:p>
      <w:pPr>
        <w:spacing w:before="75" w:after="0"/>
      </w:pPr>
      <w:r>
        <w:rPr/>
        <w:t xml:space="preserve">二、单案催收成本与投资回报率(roi)</w:t>
      </w:r>
    </w:p>
    <w:p>
      <w:pPr>
        <w:spacing w:before="75" w:after="0"/>
      </w:pPr>
      <w:r>
        <w:rPr/>
        <w:t xml:space="preserve">三、规模效应带来的边际成本递减</w:t>
      </w:r>
    </w:p>
    <w:p>
      <w:pPr>
        <w:spacing w:before="75" w:after="0"/>
      </w:pPr>
      <w:r>
        <w:rPr>
          <w:b w:val="1"/>
          <w:bCs w:val="1"/>
        </w:rPr>
        <w:t xml:space="preserve">第十章 核心技术发展趋势</w:t>
      </w:r>
    </w:p>
    <w:p>
      <w:pPr>
        <w:spacing w:before="75" w:after="0"/>
      </w:pPr>
      <w:r>
        <w:rPr/>
        <w:t xml:space="preserve">第一节 智能催收系统架构升级</w:t>
      </w:r>
    </w:p>
    <w:p>
      <w:pPr>
        <w:spacing w:before="75" w:after="0"/>
      </w:pPr>
      <w:r>
        <w:rPr/>
        <w:t xml:space="preserve">一、大语言模型驱动的个性化话术生成</w:t>
      </w:r>
    </w:p>
    <w:p>
      <w:pPr>
        <w:spacing w:before="75" w:after="0"/>
      </w:pPr>
      <w:r>
        <w:rPr/>
        <w:t xml:space="preserve">二、多轮对话理解与情绪识别能力提升</w:t>
      </w:r>
    </w:p>
    <w:p>
      <w:pPr>
        <w:spacing w:before="75" w:after="0"/>
      </w:pPr>
      <w:r>
        <w:rPr/>
        <w:t xml:space="preserve">三、动态策略调优与a/b测试闭环机制</w:t>
      </w:r>
    </w:p>
    <w:p>
      <w:pPr>
        <w:spacing w:before="75" w:after="0"/>
      </w:pPr>
      <w:r>
        <w:rPr/>
        <w:t xml:space="preserve">第二节 数据融合与决策优化</w:t>
      </w:r>
    </w:p>
    <w:p>
      <w:pPr>
        <w:spacing w:before="75" w:after="0"/>
      </w:pPr>
      <w:r>
        <w:rPr/>
        <w:t xml:space="preserve">一、跨产品、跨渠道客户行为整合分析</w:t>
      </w:r>
    </w:p>
    <w:p>
      <w:pPr>
        <w:spacing w:before="75" w:after="0"/>
      </w:pPr>
      <w:r>
        <w:rPr/>
        <w:t xml:space="preserve">二、还款意愿与还款能力联合评分模型</w:t>
      </w:r>
    </w:p>
    <w:p>
      <w:pPr>
        <w:spacing w:before="75" w:after="0"/>
      </w:pPr>
      <w:r>
        <w:rPr/>
        <w:t xml:space="preserve">三、实时反馈驱动模型迭代与策略更新</w:t>
      </w:r>
    </w:p>
    <w:p>
      <w:pPr>
        <w:spacing w:before="75" w:after="0"/>
      </w:pPr>
      <w:r>
        <w:rPr/>
        <w:t xml:space="preserve">第三节 合规科技深度嵌入</w:t>
      </w:r>
    </w:p>
    <w:p>
      <w:pPr>
        <w:spacing w:before="75" w:after="0"/>
      </w:pPr>
      <w:r>
        <w:rPr/>
        <w:t xml:space="preserve">一、通话全程录音与敏感词实时监控</w:t>
      </w:r>
    </w:p>
    <w:p>
      <w:pPr>
        <w:spacing w:before="75" w:after="0"/>
      </w:pPr>
      <w:r>
        <w:rPr/>
        <w:t xml:space="preserve">二、操作行为全链路留痕与审计追踪</w:t>
      </w:r>
    </w:p>
    <w:p>
      <w:pPr>
        <w:spacing w:before="75" w:after="0"/>
      </w:pPr>
      <w:r>
        <w:rPr/>
        <w:t xml:space="preserve">三、司法诉讼所需证据链自动生成功能</w:t>
      </w:r>
    </w:p>
    <w:p>
      <w:pPr>
        <w:spacing w:before="75" w:after="0"/>
      </w:pPr>
      <w:r>
        <w:rPr>
          <w:b w:val="1"/>
          <w:bCs w:val="1"/>
        </w:rPr>
        <w:t xml:space="preserve">第十一章 行业合规与风险管理框架演进</w:t>
      </w:r>
    </w:p>
    <w:p>
      <w:pPr>
        <w:spacing w:before="75" w:after="0"/>
      </w:pPr>
      <w:r>
        <w:rPr/>
        <w:t xml:space="preserve">第一节 催收行为规范边界</w:t>
      </w:r>
    </w:p>
    <w:p>
      <w:pPr>
        <w:spacing w:before="75" w:after="0"/>
      </w:pPr>
      <w:r>
        <w:rPr/>
        <w:t xml:space="preserve">一、禁止性行为清单执行与监督</w:t>
      </w:r>
    </w:p>
    <w:p>
      <w:pPr>
        <w:spacing w:before="75" w:after="0"/>
      </w:pPr>
      <w:r>
        <w:rPr/>
        <w:t xml:space="preserve">二、客户信息使用授权与最小必要原则</w:t>
      </w:r>
    </w:p>
    <w:p>
      <w:pPr>
        <w:spacing w:before="75" w:after="0"/>
      </w:pPr>
      <w:r>
        <w:rPr/>
        <w:t xml:space="preserve">三、投诉响应时效与处理闭环机制</w:t>
      </w:r>
    </w:p>
    <w:p>
      <w:pPr>
        <w:spacing w:before="75" w:after="0"/>
      </w:pPr>
      <w:r>
        <w:rPr/>
        <w:t xml:space="preserve">第二节 风险防控体系建设</w:t>
      </w:r>
    </w:p>
    <w:p>
      <w:pPr>
        <w:spacing w:before="75" w:after="0"/>
      </w:pPr>
      <w:r>
        <w:rPr/>
        <w:t xml:space="preserve">一、声誉风险监测与舆情应对预案</w:t>
      </w:r>
    </w:p>
    <w:p>
      <w:pPr>
        <w:spacing w:before="75" w:after="0"/>
      </w:pPr>
      <w:r>
        <w:rPr/>
        <w:t xml:space="preserve">二、数据安全与网络安全防护等级</w:t>
      </w:r>
    </w:p>
    <w:p>
      <w:pPr>
        <w:spacing w:before="75" w:after="0"/>
      </w:pPr>
      <w:r>
        <w:rPr/>
        <w:t xml:space="preserve">三、第三方合作方合规穿透式管理</w:t>
      </w:r>
    </w:p>
    <w:p>
      <w:pPr>
        <w:spacing w:before="75" w:after="0"/>
      </w:pPr>
      <w:r>
        <w:rPr/>
        <w:t xml:space="preserve">第三节 未来合规发展方向</w:t>
      </w:r>
    </w:p>
    <w:p>
      <w:pPr>
        <w:spacing w:before="75" w:after="0"/>
      </w:pPr>
      <w:r>
        <w:rPr/>
        <w:t xml:space="preserve">一、催收服务标准化指南推进</w:t>
      </w:r>
    </w:p>
    <w:p>
      <w:pPr>
        <w:spacing w:before="75" w:after="0"/>
      </w:pPr>
      <w:r>
        <w:rPr/>
        <w:t xml:space="preserve">二、行业自律组织与白名单机制</w:t>
      </w:r>
    </w:p>
    <w:p>
      <w:pPr>
        <w:spacing w:before="75" w:after="0"/>
      </w:pPr>
      <w:r>
        <w:rPr/>
        <w:t xml:space="preserve">三、监管科技(suptech)对接准备</w:t>
      </w:r>
    </w:p>
    <w:p>
      <w:pPr>
        <w:spacing w:before="75" w:after="0"/>
      </w:pPr>
      <w:r>
        <w:rPr>
          <w:b w:val="1"/>
          <w:bCs w:val="1"/>
        </w:rPr>
        <w:t xml:space="preserve">第十二章 2026-2031年市场发展预测</w:t>
      </w:r>
    </w:p>
    <w:p>
      <w:pPr>
        <w:spacing w:before="75" w:after="0"/>
      </w:pPr>
      <w:r>
        <w:rPr/>
        <w:t xml:space="preserve">第一节 市场规模预测</w:t>
      </w:r>
    </w:p>
    <w:p>
      <w:pPr>
        <w:spacing w:before="75" w:after="0"/>
      </w:pPr>
      <w:r>
        <w:rPr/>
        <w:t xml:space="preserve">一、银行催收总投入复合增长率(cagr)</w:t>
      </w:r>
    </w:p>
    <w:p>
      <w:pPr>
        <w:spacing w:before="75" w:after="0"/>
      </w:pPr>
      <w:r>
        <w:rPr/>
        <w:t xml:space="preserve">二、智能催收替代人工比例年度演进</w:t>
      </w:r>
    </w:p>
    <w:p>
      <w:pPr>
        <w:spacing w:before="75" w:after="0"/>
      </w:pPr>
      <w:r>
        <w:rPr/>
        <w:t xml:space="preserve">三、外包服务整体渗透率提升空间</w:t>
      </w:r>
    </w:p>
    <w:p>
      <w:pPr>
        <w:spacing w:before="75" w:after="0"/>
      </w:pPr>
      <w:r>
        <w:rPr/>
        <w:t xml:space="preserve">第二节 结构性变化预测</w:t>
      </w:r>
    </w:p>
    <w:p>
      <w:pPr>
        <w:spacing w:before="75" w:after="0"/>
      </w:pPr>
      <w:r>
        <w:rPr/>
        <w:t xml:space="preserve">一、信用卡与消费贷催收占比持续上升</w:t>
      </w:r>
    </w:p>
    <w:p>
      <w:pPr>
        <w:spacing w:before="75" w:after="0"/>
      </w:pPr>
      <w:r>
        <w:rPr/>
        <w:t xml:space="preserve">二、m1早期干预投入力度加大</w:t>
      </w:r>
    </w:p>
    <w:p>
      <w:pPr>
        <w:spacing w:before="75" w:after="0"/>
      </w:pPr>
      <w:r>
        <w:rPr/>
        <w:t xml:space="preserve">三、中小银行数字化催收需求释放</w:t>
      </w:r>
    </w:p>
    <w:p>
      <w:pPr>
        <w:spacing w:before="75" w:after="0"/>
      </w:pPr>
      <w:r>
        <w:rPr/>
        <w:t xml:space="preserve">第三节 技术应用预测</w:t>
      </w:r>
    </w:p>
    <w:p>
      <w:pPr>
        <w:spacing w:before="75" w:after="0"/>
      </w:pPr>
      <w:r>
        <w:rPr/>
        <w:t xml:space="preserve">一、ai催收系统覆盖率增长趋势</w:t>
      </w:r>
    </w:p>
    <w:p>
      <w:pPr>
        <w:spacing w:before="75" w:after="0"/>
      </w:pPr>
      <w:r>
        <w:rPr/>
        <w:t xml:space="preserve">二、全自动化催收流程普及率</w:t>
      </w:r>
    </w:p>
    <w:p>
      <w:pPr>
        <w:spacing w:before="75" w:after="0"/>
      </w:pPr>
      <w:r>
        <w:rPr/>
        <w:t xml:space="preserve">三、隐私计算在跨机构协作中应用广度</w:t>
      </w:r>
    </w:p>
    <w:p>
      <w:pPr>
        <w:spacing w:before="75" w:after="0"/>
      </w:pPr>
      <w:r>
        <w:rPr>
          <w:b w:val="1"/>
          <w:bCs w:val="1"/>
        </w:rPr>
        <w:t xml:space="preserve">第十三章 行业驱动因素与制约因素分析</w:t>
      </w:r>
    </w:p>
    <w:p>
      <w:pPr>
        <w:spacing w:before="75" w:after="0"/>
      </w:pPr>
      <w:r>
        <w:rPr/>
        <w:t xml:space="preserve">第一节 核心驱动因素</w:t>
      </w:r>
    </w:p>
    <w:p>
      <w:pPr>
        <w:spacing w:before="75" w:after="0"/>
      </w:pPr>
      <w:r>
        <w:rPr/>
        <w:t xml:space="preserve">一、银行不良贷款余额持续承压</w:t>
      </w:r>
    </w:p>
    <w:p>
      <w:pPr>
        <w:spacing w:before="75" w:after="0"/>
      </w:pPr>
      <w:r>
        <w:rPr/>
        <w:t xml:space="preserve">二、降本增效与运营效率提升刚性需求</w:t>
      </w:r>
    </w:p>
    <w:p>
      <w:pPr>
        <w:spacing w:before="75" w:after="0"/>
      </w:pPr>
      <w:r>
        <w:rPr/>
        <w:t xml:space="preserve">三、监管科技赋能合规运营能力</w:t>
      </w:r>
    </w:p>
    <w:p>
      <w:pPr>
        <w:spacing w:before="75" w:after="0"/>
      </w:pPr>
      <w:r>
        <w:rPr/>
        <w:t xml:space="preserve">第二节 主要制约因素</w:t>
      </w:r>
    </w:p>
    <w:p>
      <w:pPr>
        <w:spacing w:before="75" w:after="0"/>
      </w:pPr>
      <w:r>
        <w:rPr/>
        <w:t xml:space="preserve">一、社会公众对催收行业负面认知固化</w:t>
      </w:r>
    </w:p>
    <w:p>
      <w:pPr>
        <w:spacing w:before="75" w:after="0"/>
      </w:pPr>
      <w:r>
        <w:rPr/>
        <w:t xml:space="preserve">二、高端复合型技术人才供给不足</w:t>
      </w:r>
    </w:p>
    <w:p>
      <w:pPr>
        <w:spacing w:before="75" w:after="0"/>
      </w:pPr>
      <w:r>
        <w:rPr/>
        <w:t xml:space="preserve">三、跨系统、跨机构数据壁垒尚未打通</w:t>
      </w:r>
    </w:p>
    <w:p>
      <w:pPr>
        <w:spacing w:before="75" w:after="0"/>
      </w:pPr>
      <w:r>
        <w:rPr/>
        <w:t xml:space="preserve">第三节 swot战略分析</w:t>
      </w:r>
    </w:p>
    <w:p>
      <w:pPr>
        <w:spacing w:before="75" w:after="0"/>
      </w:pPr>
      <w:r>
        <w:rPr>
          <w:b w:val="1"/>
          <w:bCs w:val="1"/>
        </w:rPr>
        <w:t xml:space="preserve">第十四章 重点企业类型与代表分析</w:t>
      </w:r>
    </w:p>
    <w:p>
      <w:pPr>
        <w:spacing w:before="75" w:after="0"/>
      </w:pPr>
      <w:r>
        <w:rPr/>
        <w:t xml:space="preserve">第一节 金融系科技企业</w:t>
      </w:r>
    </w:p>
    <w:p>
      <w:pPr>
        <w:spacing w:before="75" w:after="0"/>
      </w:pPr>
      <w:r>
        <w:rPr/>
        <w:t xml:space="preserve">一、依托大型金融集团资源与客户基础</w:t>
      </w:r>
    </w:p>
    <w:p>
      <w:pPr>
        <w:spacing w:before="75" w:after="0"/>
      </w:pPr>
      <w:r>
        <w:rPr/>
        <w:t xml:space="preserve">二、提供端到端贷后管理解决方案</w:t>
      </w:r>
    </w:p>
    <w:p>
      <w:pPr>
        <w:spacing w:before="75" w:after="0"/>
      </w:pPr>
      <w:r>
        <w:rPr/>
        <w:t xml:space="preserve">三、技术投入与合规体系双重优势</w:t>
      </w:r>
    </w:p>
    <w:p>
      <w:pPr>
        <w:spacing w:before="75" w:after="0"/>
      </w:pPr>
      <w:r>
        <w:rPr/>
        <w:t xml:space="preserve">第二节 独立第三方催收科技公司</w:t>
      </w:r>
    </w:p>
    <w:p>
      <w:pPr>
        <w:spacing w:before="75" w:after="0"/>
      </w:pPr>
      <w:r>
        <w:rPr/>
        <w:t xml:space="preserve">一、专注银行客户，深耕垂直场景</w:t>
      </w:r>
    </w:p>
    <w:p>
      <w:pPr>
        <w:spacing w:before="75" w:after="0"/>
      </w:pPr>
      <w:r>
        <w:rPr/>
        <w:t xml:space="preserve">二、以saas模式快速复制与迭代</w:t>
      </w:r>
    </w:p>
    <w:p>
      <w:pPr>
        <w:spacing w:before="75" w:after="0"/>
      </w:pPr>
      <w:r>
        <w:rPr/>
        <w:t xml:space="preserve">三、灵活响应中小银行定制需求</w:t>
      </w:r>
    </w:p>
    <w:p>
      <w:pPr>
        <w:spacing w:before="75" w:after="0"/>
      </w:pPr>
      <w:r>
        <w:rPr/>
        <w:t xml:space="preserve">第三节 传统it服务商转型代表</w:t>
      </w:r>
    </w:p>
    <w:p>
      <w:pPr>
        <w:spacing w:before="75" w:after="0"/>
      </w:pPr>
      <w:r>
        <w:rPr/>
        <w:t xml:space="preserve">一、从系统集成延伸至运营服务</w:t>
      </w:r>
    </w:p>
    <w:p>
      <w:pPr>
        <w:spacing w:before="75" w:after="0"/>
      </w:pPr>
      <w:r>
        <w:rPr/>
        <w:t xml:space="preserve">二、具备银行it系统深度对接能力</w:t>
      </w:r>
    </w:p>
    <w:p>
      <w:pPr>
        <w:spacing w:before="75" w:after="0"/>
      </w:pPr>
      <w:r>
        <w:rPr/>
        <w:t xml:space="preserve">三、区域客户基础稳固，交付能力强</w:t>
      </w:r>
    </w:p>
    <w:p>
      <w:pPr>
        <w:spacing w:before="75" w:after="0"/>
      </w:pPr>
      <w:r>
        <w:rPr>
          <w:b w:val="1"/>
          <w:bCs w:val="1"/>
        </w:rPr>
        <w:t xml:space="preserve">第十五章 投资机会与风险预警</w:t>
      </w:r>
    </w:p>
    <w:p>
      <w:pPr>
        <w:spacing w:before="75" w:after="0"/>
      </w:pPr>
      <w:r>
        <w:rPr/>
        <w:t xml:space="preserve">第一节 高潜力投资赛道</w:t>
      </w:r>
    </w:p>
    <w:p>
      <w:pPr>
        <w:spacing w:before="75" w:after="0"/>
      </w:pPr>
      <w:r>
        <w:rPr/>
        <w:t xml:space="preserve">一、大模型驱动的智能催收底层技术</w:t>
      </w:r>
    </w:p>
    <w:p>
      <w:pPr>
        <w:spacing w:before="75" w:after="0"/>
      </w:pPr>
      <w:r>
        <w:rPr/>
        <w:t xml:space="preserve">二、催收效果可量化、可审计的评估工具</w:t>
      </w:r>
    </w:p>
    <w:p>
      <w:pPr>
        <w:spacing w:before="75" w:after="0"/>
      </w:pPr>
      <w:r>
        <w:rPr/>
        <w:t xml:space="preserve">三、嵌入式合规科技模块与隐私计算应用</w:t>
      </w:r>
    </w:p>
    <w:p>
      <w:pPr>
        <w:spacing w:before="75" w:after="0"/>
      </w:pPr>
      <w:r>
        <w:rPr/>
        <w:t xml:space="preserve">第二节 主要投资风险</w:t>
      </w:r>
    </w:p>
    <w:p>
      <w:pPr>
        <w:spacing w:before="75" w:after="0"/>
      </w:pPr>
      <w:r>
        <w:rPr/>
        <w:t xml:space="preserve">一、监管政策突变导致业务模式调整</w:t>
      </w:r>
    </w:p>
    <w:p>
      <w:pPr>
        <w:spacing w:before="75" w:after="0"/>
      </w:pPr>
      <w:r>
        <w:rPr/>
        <w:t xml:space="preserve">二、技术路线快速迭代引发沉没成本</w:t>
      </w:r>
    </w:p>
    <w:p>
      <w:pPr>
        <w:spacing w:before="75" w:after="0"/>
      </w:pPr>
      <w:r>
        <w:rPr/>
        <w:t xml:space="preserve">三、大客户集中度过高带来营收波动</w:t>
      </w:r>
    </w:p>
    <w:p>
      <w:pPr>
        <w:spacing w:before="75" w:after="0"/>
      </w:pPr>
      <w:r>
        <w:rPr/>
        <w:t xml:space="preserve">第三节 战略投资建议</w:t>
      </w:r>
    </w:p>
    <w:p>
      <w:pPr>
        <w:spacing w:before="75" w:after="0"/>
      </w:pPr>
      <w:r>
        <w:rPr/>
        <w:t xml:space="preserve">一、优先布局国有大行及头部股份制银行生态</w:t>
      </w:r>
    </w:p>
    <w:p>
      <w:pPr>
        <w:spacing w:before="75" w:after="0"/>
      </w:pPr>
      <w:r>
        <w:rPr/>
        <w:t xml:space="preserve">二、构建“技术+合规+服务”三位一体能力</w:t>
      </w:r>
    </w:p>
    <w:p>
      <w:pPr>
        <w:spacing w:before="75" w:after="0"/>
      </w:pPr>
      <w:r>
        <w:rPr/>
        <w:t xml:space="preserve">三、探索与不良资产处置、信用修复平台协同</w:t>
      </w:r>
    </w:p>
    <w:p>
      <w:pPr>
        <w:spacing w:before="75" w:after="0"/>
      </w:pPr>
      <w:r>
        <w:rPr>
          <w:b w:val="1"/>
          <w:bCs w:val="1"/>
        </w:rPr>
        <w:t xml:space="preserve">第十六章 行业可持续发展与未来展望</w:t>
      </w:r>
    </w:p>
    <w:p>
      <w:pPr>
        <w:spacing w:before="75" w:after="0"/>
      </w:pPr>
      <w:r>
        <w:rPr/>
        <w:t xml:space="preserve">第一节 esg理念融入服务实践</w:t>
      </w:r>
    </w:p>
    <w:p>
      <w:pPr>
        <w:spacing w:before="75" w:after="0"/>
      </w:pPr>
      <w:r>
        <w:rPr/>
        <w:t xml:space="preserve">一、强化客户基本权益与尊严保护</w:t>
      </w:r>
    </w:p>
    <w:p>
      <w:pPr>
        <w:spacing w:before="75" w:after="0"/>
      </w:pPr>
      <w:r>
        <w:rPr/>
        <w:t xml:space="preserve">二、建立催收人员心理健康支持机制</w:t>
      </w:r>
    </w:p>
    <w:p>
      <w:pPr>
        <w:spacing w:before="75" w:after="0"/>
      </w:pPr>
      <w:r>
        <w:rPr/>
        <w:t xml:space="preserve">三、推广低碳沟通方式减少无效触达</w:t>
      </w:r>
    </w:p>
    <w:p>
      <w:pPr>
        <w:spacing w:before="75" w:after="0"/>
      </w:pPr>
      <w:r>
        <w:rPr/>
        <w:t xml:space="preserve">第二节 生态化协同发展路径</w:t>
      </w:r>
    </w:p>
    <w:p>
      <w:pPr>
        <w:spacing w:before="75" w:after="0"/>
      </w:pPr>
      <w:r>
        <w:rPr/>
        <w:t xml:space="preserve">一、与征信、评分、诉讼、调解系统打通</w:t>
      </w:r>
    </w:p>
    <w:p>
      <w:pPr>
        <w:spacing w:before="75" w:after="0"/>
      </w:pPr>
      <w:r>
        <w:rPr/>
        <w:t xml:space="preserve">二、参与债务咨询与信用修复服务延伸</w:t>
      </w:r>
    </w:p>
    <w:p>
      <w:pPr>
        <w:spacing w:before="75" w:after="0"/>
      </w:pPr>
      <w:r>
        <w:rPr/>
        <w:t xml:space="preserve">三、构建“催收-风控-营销”数据闭环</w:t>
      </w:r>
    </w:p>
    <w:p>
      <w:pPr>
        <w:spacing w:before="75" w:after="0"/>
      </w:pPr>
      <w:r>
        <w:rPr/>
        <w:t xml:space="preserve">第三节 2030年远景展望</w:t>
      </w:r>
    </w:p>
    <w:p>
      <w:pPr>
        <w:spacing w:before="75" w:after="0"/>
      </w:pPr>
      <w:r>
        <w:rPr/>
        <w:t xml:space="preserve">一、银行催收全面实现智能化、合规化、人性化</w:t>
      </w:r>
    </w:p>
    <w:p>
      <w:pPr>
        <w:spacing w:before="75" w:after="0"/>
      </w:pPr>
      <w:r>
        <w:rPr/>
        <w:t xml:space="preserve">二、人机协同成为主流作业模式</w:t>
      </w:r>
    </w:p>
    <w:p>
      <w:pPr>
        <w:spacing w:before="75" w:after="0"/>
      </w:pPr>
      <w:r>
        <w:rPr/>
        <w:t xml:space="preserve">三、行业从“债务回收”向“信用关系修复”跃迁</w:t>
      </w:r>
    </w:p>
    <w:p>
      <w:pPr>
        <w:spacing w:before="75" w:after="0"/>
      </w:pPr>
      <w:r>
        <w:rPr>
          <w:b w:val="1"/>
          <w:bCs w:val="1"/>
        </w:rPr>
        <w:t xml:space="preserve">图表目录</w:t>
      </w:r>
    </w:p>
    <w:p>
      <w:pPr>
        <w:spacing w:before="75" w:after="0"/>
      </w:pPr>
      <w:r>
        <w:rPr/>
        <w:t xml:space="preserve">图表：2023-2025年全球银行催收服务总支出规模</w:t>
      </w:r>
    </w:p>
    <w:p>
      <w:pPr>
        <w:spacing w:before="75" w:after="0"/>
      </w:pPr>
      <w:r>
        <w:rPr/>
        <w:t xml:space="preserve">图表：2023-2025年北美银行智能催收系统渗透率</w:t>
      </w:r>
    </w:p>
    <w:p>
      <w:pPr>
        <w:spacing w:before="75" w:after="0"/>
      </w:pPr>
      <w:r>
        <w:rPr/>
        <w:t xml:space="preserve">图表：2023-2025年欧洲银行催收合规成本占比</w:t>
      </w:r>
    </w:p>
    <w:p>
      <w:pPr>
        <w:spacing w:before="75" w:after="0"/>
      </w:pPr>
      <w:r>
        <w:rPr/>
        <w:t xml:space="preserve">图表：2023-2025年亚太地区银行外包催收增速</w:t>
      </w:r>
    </w:p>
    <w:p>
      <w:pPr>
        <w:spacing w:before="75" w:after="0"/>
      </w:pPr>
      <w:r>
        <w:rPr/>
        <w:t xml:space="preserve">图表：2023-2025年中国银行催收总投入金额</w:t>
      </w:r>
    </w:p>
    <w:p>
      <w:pPr>
        <w:spacing w:before="75" w:after="0"/>
      </w:pPr>
      <w:r>
        <w:rPr/>
        <w:t xml:space="preserve">图表：2023-2025年委托第三方催收案件总量</w:t>
      </w:r>
    </w:p>
    <w:p>
      <w:pPr>
        <w:spacing w:before="75" w:after="0"/>
      </w:pPr>
      <w:r>
        <w:rPr/>
        <w:t xml:space="preserve">图表：2023-2025年银行信用卡催收回款率</w:t>
      </w:r>
    </w:p>
    <w:p>
      <w:pPr>
        <w:spacing w:before="75" w:after="0"/>
      </w:pPr>
      <w:r>
        <w:rPr/>
        <w:t xml:space="preserve">图表：2023-2025年消费贷催收案件平均账龄</w:t>
      </w:r>
    </w:p>
    <w:p>
      <w:pPr>
        <w:spacing w:before="75" w:after="0"/>
      </w:pPr>
      <w:r>
        <w:rPr/>
        <w:t xml:space="preserve">图表：2023-2025年m1阶段催收投入占比</w:t>
      </w:r>
    </w:p>
    <w:p>
      <w:pPr>
        <w:spacing w:before="75" w:after="0"/>
      </w:pPr>
      <w:r>
        <w:rPr/>
        <w:t xml:space="preserve">图表：2023-2025年智能语音外呼使用率</w:t>
      </w:r>
    </w:p>
    <w:p>
      <w:pPr>
        <w:spacing w:before="75" w:after="0"/>
      </w:pPr>
      <w:r>
        <w:rPr/>
        <w:t xml:space="preserve">图表：2023-2025年东部地区银行催收资源集中度</w:t>
      </w:r>
    </w:p>
    <w:p>
      <w:pPr>
        <w:spacing w:before="75" w:after="0"/>
      </w:pPr>
      <w:r>
        <w:rPr/>
        <w:t xml:space="preserve">图表：2023-2025年中西部银行外包依赖度</w:t>
      </w:r>
    </w:p>
    <w:p>
      <w:pPr>
        <w:spacing w:before="75" w:after="0"/>
      </w:pPr>
      <w:r>
        <w:rPr/>
        <w:t xml:space="preserve">图表：全流程外包服务占比变化</w:t>
      </w:r>
    </w:p>
    <w:p>
      <w:pPr>
        <w:spacing w:before="75" w:after="0"/>
      </w:pPr>
      <w:r>
        <w:rPr/>
        <w:t xml:space="preserve">图表：2026-2031年中国银行催收投入cagr预测</w:t>
      </w:r>
    </w:p>
    <w:p>
      <w:pPr>
        <w:spacing w:before="75" w:after="0"/>
      </w:pPr>
      <w:r>
        <w:rPr/>
        <w:t xml:space="preserve">图表：2026-2031年智能催收替代人工比例预测</w:t>
      </w:r>
    </w:p>
    <w:p>
      <w:pPr>
        <w:spacing w:before="75" w:after="0"/>
      </w:pPr>
      <w:r>
        <w:rPr/>
        <w:t xml:space="preserve">图表：2026-2031年外包服务渗透率预测</w:t>
      </w:r>
    </w:p>
    <w:p>
      <w:pPr>
        <w:spacing w:before="75" w:after="0"/>
      </w:pPr>
      <w:r>
        <w:rPr/>
        <w:t xml:space="preserve">图表：2026-2031年信用卡催收占比预测</w:t>
      </w:r>
    </w:p>
    <w:p>
      <w:pPr>
        <w:spacing w:before="75" w:after="0"/>
      </w:pPr>
      <w:r>
        <w:rPr/>
        <w:t xml:space="preserve">图表：2026-2031年m1阶段投入占比预测</w:t>
      </w:r>
    </w:p>
    <w:p>
      <w:pPr>
        <w:spacing w:before="75" w:after="0"/>
      </w:pPr>
      <w:r>
        <w:rPr/>
        <w:t xml:space="preserve">图表：2026-2031年ai催收覆盖率预测</w:t>
      </w:r>
    </w:p>
    <w:p>
      <w:pPr>
        <w:spacing w:before="75" w:after="0"/>
      </w:pPr>
      <w:r>
        <w:rPr/>
        <w:t xml:space="preserve">图表：2026-2031年全自动化流程普及率预测</w:t>
      </w:r>
    </w:p>
    <w:p>
      <w:pPr>
        <w:spacing w:before="75" w:after="0"/>
      </w:pPr>
      <w:r>
        <w:rPr/>
        <w:t xml:space="preserve">图表：2026-2031年隐私计算应用广度预测</w:t>
      </w:r>
    </w:p>
    <w:p>
      <w:pPr>
        <w:spacing w:before="75" w:after="0"/>
      </w:pPr>
      <w:r>
        <w:rPr/>
        <w:t xml:space="preserve">图表：2023-2025年金融系科技企业催收收入</w:t>
      </w:r>
    </w:p>
    <w:p>
      <w:pPr>
        <w:spacing w:before="75" w:after="0"/>
      </w:pPr>
      <w:r>
        <w:rPr/>
        <w:t xml:space="preserve">图表：2023-2025年独立第三方企业银行客户数</w:t>
      </w:r>
    </w:p>
    <w:p>
      <w:pPr>
        <w:spacing w:before="75" w:after="0"/>
      </w:pPr>
      <w:r>
        <w:rPr/>
        <w:t xml:space="preserve">图表：2023-2025年传统it服务商催收合同额</w:t>
      </w:r>
    </w:p>
    <w:p>
      <w:pPr>
        <w:spacing w:before="75" w:after="0"/>
      </w:pPr>
      <w:r>
        <w:rPr/>
        <w:t xml:space="preserve">图表：2023-2025年催收saas订阅arr增长</w:t>
      </w:r>
    </w:p>
    <w:p>
      <w:pPr>
        <w:spacing w:before="75" w:after="0"/>
      </w:pPr>
      <w:r>
        <w:rPr/>
        <w:t xml:space="preserve">图表：2023-2025年合规审计模块使用率</w:t>
      </w:r>
    </w:p>
    <w:p>
      <w:pPr>
        <w:spacing w:before="75" w:after="0"/>
      </w:pPr>
      <w:r>
        <w:rPr/>
        <w:t xml:space="preserve">图表：2026-2031年催收效果评估工具市场规模预测</w:t>
      </w:r>
    </w:p>
    <w:p>
      <w:pPr>
        <w:spacing w:before="75" w:after="0"/>
      </w:pPr>
      <w:r>
        <w:rPr/>
        <w:t xml:space="preserve">图表：2026-2031年合规科技模块渗透率预测</w:t>
      </w:r>
    </w:p>
    <w:p>
      <w:pPr>
        <w:spacing w:before="75" w:after="0"/>
      </w:pPr>
      <w:r>
        <w:rPr/>
        <w:t xml:space="preserve">图表：2026-2031年信用修复服务联动率预测</w:t>
      </w:r>
    </w:p>
    <w:p>
      <w:pPr>
        <w:spacing w:before="75" w:after="0"/>
      </w:pPr>
      <w:r>
        <w:rPr/>
        <w:t xml:space="preserve">图表：2026-2031年中小银行数字化催收采纳率预测</w:t>
      </w:r>
    </w:p>
    <w:p>
      <w:pPr>
        <w:spacing w:before="75" w:after="0"/>
      </w:pPr>
      <w:r>
        <w:rPr/>
        <w:t xml:space="preserve">图表：2026-2031年人机协同催收模式占比预测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本文地址：https://www.51baogao.cn/baogao/20260328/4067203.shtml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7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2026-2031年银行催收服务行业市场现状分析及投资前景预测报告</dc:title>
  <dc:description>2026-2031年银行催收服务行业市场现状分析及投资前景预测报告</dc:description>
  <dc:subject>2026-2031年银行催收服务行业市场现状分析及投资前景预测报告</dc:subject>
  <cp:keywords>研究报告</cp:keywords>
  <cp:category>研究报告</cp:category>
  <cp:lastModifiedBy>北京中道泰和信息咨询有限公司</cp:lastModifiedBy>
  <dcterms:created xsi:type="dcterms:W3CDTF">2026-03-31T11:15:53+08:00</dcterms:created>
  <dcterms:modified xsi:type="dcterms:W3CDTF">2026-03-31T11:15:53+08:00</dcterms:modified>
</cp:coreProperties>
</file>

<file path=docProps/custom.xml><?xml version="1.0" encoding="utf-8"?>
<Properties xmlns="http://schemas.openxmlformats.org/officeDocument/2006/custom-properties" xmlns:vt="http://schemas.openxmlformats.org/officeDocument/2006/docPropsVTypes"/>
</file>