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2026-2031年中国能源大模型行业全景调研及投资规划研究咨询报告</w:t>
      </w:r>
    </w:p>
    <w:p>
      <w:pPr>
        <w:spacing w:after="150"/>
      </w:pPr>
      <w:r>
        <w:rPr>
          <w:b w:val="1"/>
          <w:bCs w:val="1"/>
        </w:rPr>
        <w:t xml:space="preserve">报告简介</w:t>
      </w:r>
    </w:p>
    <w:p>
      <w:pPr>
        <w:spacing w:after="150"/>
      </w:pPr>
      <w:r>
        <w:rPr/>
        <w:t xml:space="preserve">能源大模型是面向能源行业全业务场景专门训练生成的行业专属人工智能大模型，依托通用大模型底层架构，融入电力、煤炭、油气、新能源等全领域专业知识、业务规则与行业数据，具备自然语言理解、专业逻辑推理、复杂工况研判、智能决策输出等核心能力。它区别于通用人工智能模型，深度贴合能源生产、传输、调度、消费、储能、运维等实际业务逻辑，能够适配能源行业高安全、高可靠、强专业的运行要求，可实现业务智能问答、运行风险预警、调度策略优化、设备故障诊断与行业知识沉淀复用，是人工智能与能源产业深度融合的核心智能基础设施。</w:t>
      </w:r>
    </w:p>
    <w:p>
      <w:pPr>
        <w:spacing w:after="150"/>
      </w:pPr>
      <w:r>
        <w:rPr/>
        <w:t xml:space="preserve">能源大模型市场属于人工智能与能源产业交叉形成的新兴高端细分市场，覆盖模型研发训练、行业适配微调、场景应用开发、行业算力支撑、安全运维服务等完整业务链条。市场需求源自传统能源行业数字化转型、新型电力系统建设、新能源规模化并网、能源企业管理效能提升等多重诉求，应用主体涵盖电网企业、发电集团、油气企业、新能源运营商及能源科研机构。市场参与方包含人工智能科技企业、能源央企研究院、高校科研院所及能源数字化服务商，行业具备专业门槛高、数据壁垒强、场景定制化要求高的特点，产业生态正快速搭建并逐步走向成熟。</w:t>
      </w:r>
    </w:p>
    <w:p>
      <w:pPr>
        <w:spacing w:after="150"/>
      </w:pPr>
      <w:r>
        <w:rPr/>
        <w:t xml:space="preserve">随着能源行业数字化底座不断完善、行业数据治理水平持续提升，将为大模型训练与落地提供坚实基础;各类能源业务场景的智能化升级需求持续释放，将不断拓宽能源大模型的应用边界与市场空间。同时技术迭代加速、政策持续加持以及行业生态协同完善，将推动能源大模型深度融入能源全产业链流程，有效提升能源运行调度效率、安全生产管控能力与综合服务水平，助力能源结构转型和新型电力系统构建，未来将成为能源行业高质量发展不可或缺的核心智能支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能源大模型行业进行了长期追踪，结合我们对能源大模型相关企业的调查研究，对我国能源大模型行业发展现状与前景、市场竞争格局与形势、赢利水平与企业发展、投资策略与风险预警、发展趋势与规划建议等进行深入研究，并重点分析了能源大模型行业的前景与风险。报告揭示了能源大模型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能源大模型基本概念与技术范畴</w:t>
      </w:r>
    </w:p>
    <w:p>
      <w:pPr>
        <w:spacing w:before="75" w:after="0"/>
      </w:pPr>
      <w:r>
        <w:rPr/>
        <w:t xml:space="preserve">第一节 定义与核心特征</w:t>
      </w:r>
    </w:p>
    <w:p>
      <w:pPr>
        <w:spacing w:before="75" w:after="0"/>
      </w:pPr>
      <w:r>
        <w:rPr/>
        <w:t xml:space="preserve">一、能源大模型基本内涵与边界</w:t>
      </w:r>
    </w:p>
    <w:p>
      <w:pPr>
        <w:spacing w:before="75" w:after="0"/>
      </w:pPr>
      <w:r>
        <w:rPr/>
        <w:t xml:space="preserve">二、多模态融合与领域知识嵌入能力</w:t>
      </w:r>
    </w:p>
    <w:p>
      <w:pPr>
        <w:spacing w:before="75" w:after="0"/>
      </w:pPr>
      <w:r>
        <w:rPr/>
        <w:t xml:space="preserve">三、与通用大模型的本质区别</w:t>
      </w:r>
    </w:p>
    <w:p>
      <w:pPr>
        <w:spacing w:before="75" w:after="0"/>
      </w:pPr>
      <w:r>
        <w:rPr/>
        <w:t xml:space="preserve">第二节 技术分类与架构体系</w:t>
      </w:r>
    </w:p>
    <w:p>
      <w:pPr>
        <w:spacing w:before="75" w:after="0"/>
      </w:pPr>
      <w:r>
        <w:rPr/>
        <w:t xml:space="preserve">一、按训练范式划分类型</w:t>
      </w:r>
    </w:p>
    <w:p>
      <w:pPr>
        <w:spacing w:before="75" w:after="0"/>
      </w:pPr>
      <w:r>
        <w:rPr/>
        <w:t xml:space="preserve">二、按部署形态区分体系</w:t>
      </w:r>
    </w:p>
    <w:p>
      <w:pPr>
        <w:spacing w:before="75" w:after="0"/>
      </w:pPr>
      <w:r>
        <w:rPr/>
        <w:t xml:space="preserve">三、按应用层级分类方式</w:t>
      </w:r>
    </w:p>
    <w:p>
      <w:pPr>
        <w:spacing w:before="75" w:after="0"/>
      </w:pPr>
      <w:r>
        <w:rPr/>
        <w:t xml:space="preserve">第三节 产业链基础结构</w:t>
      </w:r>
    </w:p>
    <w:p>
      <w:pPr>
        <w:spacing w:before="75" w:after="0"/>
      </w:pPr>
      <w:r>
        <w:rPr/>
        <w:t xml:space="preserve">一、上游算力基础设施与数据资源</w:t>
      </w:r>
    </w:p>
    <w:p>
      <w:pPr>
        <w:spacing w:before="75" w:after="0"/>
      </w:pPr>
      <w:r>
        <w:rPr/>
        <w:t xml:space="preserve">二、中游模型开发与平台构建</w:t>
      </w:r>
    </w:p>
    <w:p>
      <w:pPr>
        <w:spacing w:before="75" w:after="0"/>
      </w:pPr>
      <w:r>
        <w:rPr/>
        <w:t xml:space="preserve">三、下游能源场景应用与服务</w:t>
      </w:r>
    </w:p>
    <w:p>
      <w:pPr>
        <w:spacing w:before="75" w:after="0"/>
      </w:pPr>
      <w:r>
        <w:rPr>
          <w:b w:val="1"/>
          <w:bCs w:val="1"/>
        </w:rPr>
        <w:t xml:space="preserve">第二章 全球能源大模型发展现状</w:t>
      </w:r>
    </w:p>
    <w:p>
      <w:pPr>
        <w:spacing w:before="75" w:after="0"/>
      </w:pPr>
      <w:r>
        <w:rPr/>
        <w:t xml:space="preserve">第一节 市场启动与投入节奏</w:t>
      </w:r>
    </w:p>
    <w:p>
      <w:pPr>
        <w:spacing w:before="75" w:after="0"/>
      </w:pPr>
      <w:r>
        <w:rPr/>
        <w:t xml:space="preserve">一、全球能源企业ai研发支出强度</w:t>
      </w:r>
    </w:p>
    <w:p>
      <w:pPr>
        <w:spacing w:before="75" w:after="0"/>
      </w:pPr>
      <w:r>
        <w:rPr/>
        <w:t xml:space="preserve">二、大型能源集团大模型试点数量</w:t>
      </w:r>
    </w:p>
    <w:p>
      <w:pPr>
        <w:spacing w:before="75" w:after="0"/>
      </w:pPr>
      <w:r>
        <w:rPr/>
        <w:t xml:space="preserve">三、政府与科研机构联合项目布局</w:t>
      </w:r>
    </w:p>
    <w:p>
      <w:pPr>
        <w:spacing w:before="75" w:after="0"/>
      </w:pPr>
      <w:r>
        <w:rPr/>
        <w:t xml:space="preserve">第二节 区域发展格局</w:t>
      </w:r>
    </w:p>
    <w:p>
      <w:pPr>
        <w:spacing w:before="75" w:after="0"/>
      </w:pPr>
      <w:r>
        <w:rPr/>
        <w:t xml:space="preserve">一、北美聚焦电力与油气智能调度</w:t>
      </w:r>
    </w:p>
    <w:p>
      <w:pPr>
        <w:spacing w:before="75" w:after="0"/>
      </w:pPr>
      <w:r>
        <w:rPr/>
        <w:t xml:space="preserve">二、欧洲强调绿色能源协同优化</w:t>
      </w:r>
    </w:p>
    <w:p>
      <w:pPr>
        <w:spacing w:before="75" w:after="0"/>
      </w:pPr>
      <w:r>
        <w:rPr/>
        <w:t xml:space="preserve">三、亚太地区加速工业能源场景落地</w:t>
      </w:r>
    </w:p>
    <w:p>
      <w:pPr>
        <w:spacing w:before="75" w:after="0"/>
      </w:pPr>
      <w:r>
        <w:rPr/>
        <w:t xml:space="preserve">第三节 技术成熟度评估</w:t>
      </w:r>
    </w:p>
    <w:p>
      <w:pPr>
        <w:spacing w:before="75" w:after="0"/>
      </w:pPr>
      <w:r>
        <w:rPr/>
        <w:t xml:space="preserve">一、能源专业预训练语料覆盖广度</w:t>
      </w:r>
    </w:p>
    <w:p>
      <w:pPr>
        <w:spacing w:before="75" w:after="0"/>
      </w:pPr>
      <w:r>
        <w:rPr/>
        <w:t xml:space="preserve">二、领域微调任务准确率水平</w:t>
      </w:r>
    </w:p>
    <w:p>
      <w:pPr>
        <w:spacing w:before="75" w:after="0"/>
      </w:pPr>
      <w:r>
        <w:rPr/>
        <w:t xml:space="preserve">三、推理效率与部署成本平衡性</w:t>
      </w:r>
    </w:p>
    <w:p>
      <w:pPr>
        <w:spacing w:before="75" w:after="0"/>
      </w:pPr>
      <w:r>
        <w:rPr>
          <w:b w:val="1"/>
          <w:bCs w:val="1"/>
        </w:rPr>
        <w:t xml:space="preserve">第三章 上游基础设施与数据要素分析</w:t>
      </w:r>
    </w:p>
    <w:p>
      <w:pPr>
        <w:spacing w:before="75" w:after="0"/>
      </w:pPr>
      <w:r>
        <w:rPr/>
        <w:t xml:space="preserve">第一节 算力支撑体系</w:t>
      </w:r>
    </w:p>
    <w:p>
      <w:pPr>
        <w:spacing w:before="75" w:after="0"/>
      </w:pPr>
      <w:r>
        <w:rPr/>
        <w:t xml:space="preserve">一、高性能计算集群配置规模</w:t>
      </w:r>
    </w:p>
    <w:p>
      <w:pPr>
        <w:spacing w:before="75" w:after="0"/>
      </w:pPr>
      <w:r>
        <w:rPr/>
        <w:t xml:space="preserve">二、能源专用ai芯片适配进展</w:t>
      </w:r>
    </w:p>
    <w:p>
      <w:pPr>
        <w:spacing w:before="75" w:after="0"/>
      </w:pPr>
      <w:r>
        <w:rPr/>
        <w:t xml:space="preserve">三、绿色低碳算力中心建设</w:t>
      </w:r>
    </w:p>
    <w:p>
      <w:pPr>
        <w:spacing w:before="75" w:after="0"/>
      </w:pPr>
      <w:r>
        <w:rPr/>
        <w:t xml:space="preserve">第二节 能源数据资源体系</w:t>
      </w:r>
    </w:p>
    <w:p>
      <w:pPr>
        <w:spacing w:before="75" w:after="0"/>
      </w:pPr>
      <w:r>
        <w:rPr/>
        <w:t xml:space="preserve">一、多源异构能源数据汇聚能力</w:t>
      </w:r>
    </w:p>
    <w:p>
      <w:pPr>
        <w:spacing w:before="75" w:after="0"/>
      </w:pPr>
      <w:r>
        <w:rPr/>
        <w:t xml:space="preserve">二、高质量标注数据集构建水平</w:t>
      </w:r>
    </w:p>
    <w:p>
      <w:pPr>
        <w:spacing w:before="75" w:after="0"/>
      </w:pPr>
      <w:r>
        <w:rPr/>
        <w:t xml:space="preserve">三、数据确权与流通机制探索</w:t>
      </w:r>
    </w:p>
    <w:p>
      <w:pPr>
        <w:spacing w:before="75" w:after="0"/>
      </w:pPr>
      <w:r>
        <w:rPr/>
        <w:t xml:space="preserve">第三节 开源基础模型生态</w:t>
      </w:r>
    </w:p>
    <w:p>
      <w:pPr>
        <w:spacing w:before="75" w:after="0"/>
      </w:pPr>
      <w:r>
        <w:rPr/>
        <w:t xml:space="preserve">一、国际开源能源模型贡献度</w:t>
      </w:r>
    </w:p>
    <w:p>
      <w:pPr>
        <w:spacing w:before="75" w:after="0"/>
      </w:pPr>
      <w:r>
        <w:rPr/>
        <w:t xml:space="preserve">二、中文能源领域预训练语料规模</w:t>
      </w:r>
    </w:p>
    <w:p>
      <w:pPr>
        <w:spacing w:before="75" w:after="0"/>
      </w:pPr>
      <w:r>
        <w:rPr/>
        <w:t xml:space="preserve">三、社区协作与模型迭代速度</w:t>
      </w:r>
    </w:p>
    <w:p>
      <w:pPr>
        <w:spacing w:before="75" w:after="0"/>
      </w:pPr>
      <w:r>
        <w:rPr>
          <w:b w:val="1"/>
          <w:bCs w:val="1"/>
        </w:rPr>
        <w:t xml:space="preserve">第四章 中游模型开发与平台构建体系</w:t>
      </w:r>
    </w:p>
    <w:p>
      <w:pPr>
        <w:spacing w:before="75" w:after="0"/>
      </w:pPr>
      <w:r>
        <w:rPr/>
        <w:t xml:space="preserve">第一节 基座模型训练方法</w:t>
      </w:r>
    </w:p>
    <w:p>
      <w:pPr>
        <w:spacing w:before="75" w:after="0"/>
      </w:pPr>
      <w:r>
        <w:rPr/>
        <w:t xml:space="preserve">一、能源知识增强预训练策略</w:t>
      </w:r>
    </w:p>
    <w:p>
      <w:pPr>
        <w:spacing w:before="75" w:after="0"/>
      </w:pPr>
      <w:r>
        <w:rPr/>
        <w:t xml:space="preserve">二、小样本学习与迁移能力</w:t>
      </w:r>
    </w:p>
    <w:p>
      <w:pPr>
        <w:spacing w:before="75" w:after="0"/>
      </w:pPr>
      <w:r>
        <w:rPr/>
        <w:t xml:space="preserve">三、持续学习与在线更新机制</w:t>
      </w:r>
    </w:p>
    <w:p>
      <w:pPr>
        <w:spacing w:before="75" w:after="0"/>
      </w:pPr>
      <w:r>
        <w:rPr/>
        <w:t xml:space="preserve">第二节 领域适配与微调技术</w:t>
      </w:r>
    </w:p>
    <w:p>
      <w:pPr>
        <w:spacing w:before="75" w:after="0"/>
      </w:pPr>
      <w:r>
        <w:rPr/>
        <w:t xml:space="preserve">一、电力调度指令理解精度</w:t>
      </w:r>
    </w:p>
    <w:p>
      <w:pPr>
        <w:spacing w:before="75" w:after="0"/>
      </w:pPr>
      <w:r>
        <w:rPr/>
        <w:t xml:space="preserve">二、碳排核算逻辑一致性</w:t>
      </w:r>
    </w:p>
    <w:p>
      <w:pPr>
        <w:spacing w:before="75" w:after="0"/>
      </w:pPr>
      <w:r>
        <w:rPr/>
        <w:t xml:space="preserve">三、设备故障描述生成质量</w:t>
      </w:r>
    </w:p>
    <w:p>
      <w:pPr>
        <w:spacing w:before="75" w:after="0"/>
      </w:pPr>
      <w:r>
        <w:rPr/>
        <w:t xml:space="preserve">第三节 工程化部署平台</w:t>
      </w:r>
    </w:p>
    <w:p>
      <w:pPr>
        <w:spacing w:before="75" w:after="0"/>
      </w:pPr>
      <w:r>
        <w:rPr/>
        <w:t xml:space="preserve">一、模型压缩与量化技术应用</w:t>
      </w:r>
    </w:p>
    <w:p>
      <w:pPr>
        <w:spacing w:before="75" w:after="0"/>
      </w:pPr>
      <w:r>
        <w:rPr/>
        <w:t xml:space="preserve">二、边云协同推理架构成熟度</w:t>
      </w:r>
    </w:p>
    <w:p>
      <w:pPr>
        <w:spacing w:before="75" w:after="0"/>
      </w:pPr>
      <w:r>
        <w:rPr/>
        <w:t xml:space="preserve">三、安全合规与审计追踪能力</w:t>
      </w:r>
    </w:p>
    <w:p>
      <w:pPr>
        <w:spacing w:before="75" w:after="0"/>
      </w:pPr>
      <w:r>
        <w:rPr>
          <w:b w:val="1"/>
          <w:bCs w:val="1"/>
        </w:rPr>
        <w:t xml:space="preserve">第五章 下游核心应用场景解析</w:t>
      </w:r>
    </w:p>
    <w:p>
      <w:pPr>
        <w:spacing w:before="75" w:after="0"/>
      </w:pPr>
      <w:r>
        <w:rPr/>
        <w:t xml:space="preserve">第一节 电力系统智能运行</w:t>
      </w:r>
    </w:p>
    <w:p>
      <w:pPr>
        <w:spacing w:before="75" w:after="0"/>
      </w:pPr>
      <w:r>
        <w:rPr/>
        <w:t xml:space="preserve">一、短期负荷与新能源出力预测</w:t>
      </w:r>
    </w:p>
    <w:p>
      <w:pPr>
        <w:spacing w:before="75" w:after="0"/>
      </w:pPr>
      <w:r>
        <w:rPr/>
        <w:t xml:space="preserve">二、电网调度辅助决策生成</w:t>
      </w:r>
    </w:p>
    <w:p>
      <w:pPr>
        <w:spacing w:before="75" w:after="0"/>
      </w:pPr>
      <w:r>
        <w:rPr/>
        <w:t xml:space="preserve">三、故障处置预案自动生成</w:t>
      </w:r>
    </w:p>
    <w:p>
      <w:pPr>
        <w:spacing w:before="75" w:after="0"/>
      </w:pPr>
      <w:r>
        <w:rPr/>
        <w:t xml:space="preserve">第二节 油气与新能源生产优化</w:t>
      </w:r>
    </w:p>
    <w:p>
      <w:pPr>
        <w:spacing w:before="75" w:after="0"/>
      </w:pPr>
      <w:r>
        <w:rPr/>
        <w:t xml:space="preserve">一、钻井参数智能推荐</w:t>
      </w:r>
    </w:p>
    <w:p>
      <w:pPr>
        <w:spacing w:before="75" w:after="0"/>
      </w:pPr>
      <w:r>
        <w:rPr/>
        <w:t xml:space="preserve">二、矿井安全风险预警</w:t>
      </w:r>
    </w:p>
    <w:p>
      <w:pPr>
        <w:spacing w:before="75" w:after="0"/>
      </w:pPr>
      <w:r>
        <w:rPr/>
        <w:t xml:space="preserve">三、供应链物流调度优化</w:t>
      </w:r>
    </w:p>
    <w:p>
      <w:pPr>
        <w:spacing w:before="75" w:after="0"/>
      </w:pPr>
      <w:r>
        <w:rPr/>
        <w:t xml:space="preserve">第三节 综合能源与碳管理</w:t>
      </w:r>
    </w:p>
    <w:p>
      <w:pPr>
        <w:spacing w:before="75" w:after="0"/>
      </w:pPr>
      <w:r>
        <w:rPr/>
        <w:t xml:space="preserve">一、多能互补协同调度</w:t>
      </w:r>
    </w:p>
    <w:p>
      <w:pPr>
        <w:spacing w:before="75" w:after="0"/>
      </w:pPr>
      <w:r>
        <w:rPr/>
        <w:t xml:space="preserve">二、企业碳足迹自动核算</w:t>
      </w:r>
    </w:p>
    <w:p>
      <w:pPr>
        <w:spacing w:before="75" w:after="0"/>
      </w:pPr>
      <w:r>
        <w:rPr/>
        <w:t xml:space="preserve">三、绿电消费认证与溯源</w:t>
      </w:r>
    </w:p>
    <w:p>
      <w:pPr>
        <w:spacing w:before="75" w:after="0"/>
      </w:pPr>
      <w:r>
        <w:rPr>
          <w:b w:val="1"/>
          <w:bCs w:val="1"/>
        </w:rPr>
        <w:t xml:space="preserve">第六章 全球能源大模型技术演进趋势</w:t>
      </w:r>
    </w:p>
    <w:p>
      <w:pPr>
        <w:spacing w:before="75" w:after="0"/>
      </w:pPr>
      <w:r>
        <w:rPr/>
        <w:t xml:space="preserve">第一节 模型能力升级路径</w:t>
      </w:r>
    </w:p>
    <w:p>
      <w:pPr>
        <w:spacing w:before="75" w:after="0"/>
      </w:pPr>
      <w:r>
        <w:rPr/>
        <w:t xml:space="preserve">一、从文本生成到因果推理</w:t>
      </w:r>
    </w:p>
    <w:p>
      <w:pPr>
        <w:spacing w:before="75" w:after="0"/>
      </w:pPr>
      <w:r>
        <w:rPr/>
        <w:t xml:space="preserve">二、从单点问答到系统推演</w:t>
      </w:r>
    </w:p>
    <w:p>
      <w:pPr>
        <w:spacing w:before="75" w:after="0"/>
      </w:pPr>
      <w:r>
        <w:rPr/>
        <w:t xml:space="preserve">三、从静态分析到动态仿真</w:t>
      </w:r>
    </w:p>
    <w:p>
      <w:pPr>
        <w:spacing w:before="75" w:after="0"/>
      </w:pPr>
      <w:r>
        <w:rPr/>
        <w:t xml:space="preserve">第二节 多模态融合与数字孪生交互</w:t>
      </w:r>
    </w:p>
    <w:p>
      <w:pPr>
        <w:spacing w:before="75" w:after="0"/>
      </w:pPr>
      <w:r>
        <w:rPr/>
        <w:t xml:space="preserve">一、文本-图像-时序信号联合建模</w:t>
      </w:r>
    </w:p>
    <w:p>
      <w:pPr>
        <w:spacing w:before="75" w:after="0"/>
      </w:pPr>
      <w:r>
        <w:rPr/>
        <w:t xml:space="preserve">二、数字孪生环境交互能力</w:t>
      </w:r>
    </w:p>
    <w:p>
      <w:pPr>
        <w:spacing w:before="75" w:after="0"/>
      </w:pPr>
      <w:r>
        <w:rPr/>
        <w:t xml:space="preserve">三、物理约束嵌入生成过程</w:t>
      </w:r>
    </w:p>
    <w:p>
      <w:pPr>
        <w:spacing w:before="75" w:after="0"/>
      </w:pPr>
      <w:r>
        <w:rPr/>
        <w:t xml:space="preserve">第三节 可信与安全机制强化</w:t>
      </w:r>
    </w:p>
    <w:p>
      <w:pPr>
        <w:spacing w:before="75" w:after="0"/>
      </w:pPr>
      <w:r>
        <w:rPr/>
        <w:t xml:space="preserve">一、幻觉抑制与事实校验</w:t>
      </w:r>
    </w:p>
    <w:p>
      <w:pPr>
        <w:spacing w:before="75" w:after="0"/>
      </w:pPr>
      <w:r>
        <w:rPr/>
        <w:t xml:space="preserve">二、模型可解释性评分体系</w:t>
      </w:r>
    </w:p>
    <w:p>
      <w:pPr>
        <w:spacing w:before="75" w:after="0"/>
      </w:pPr>
      <w:r>
        <w:rPr/>
        <w:t xml:space="preserve">三、对抗攻击防御能力构建</w:t>
      </w:r>
    </w:p>
    <w:p>
      <w:pPr>
        <w:spacing w:before="75" w:after="0"/>
      </w:pPr>
      <w:r>
        <w:rPr>
          <w:b w:val="1"/>
          <w:bCs w:val="1"/>
        </w:rPr>
        <w:t xml:space="preserve">第七章 全球市场竞争格局</w:t>
      </w:r>
    </w:p>
    <w:p>
      <w:pPr>
        <w:spacing w:before="75" w:after="0"/>
      </w:pPr>
      <w:r>
        <w:rPr/>
        <w:t xml:space="preserve">第一节 科技巨头战略布局</w:t>
      </w:r>
    </w:p>
    <w:p>
      <w:pPr>
        <w:spacing w:before="75" w:after="0"/>
      </w:pPr>
      <w:r>
        <w:rPr/>
        <w:t xml:space="preserve">一、国际云厂商能源垂类模型发布</w:t>
      </w:r>
    </w:p>
    <w:p>
      <w:pPr>
        <w:spacing w:before="75" w:after="0"/>
      </w:pPr>
      <w:r>
        <w:rPr/>
        <w:t xml:space="preserve">二、中国ict企业基座模型投入</w:t>
      </w:r>
    </w:p>
    <w:p>
      <w:pPr>
        <w:spacing w:before="75" w:after="0"/>
      </w:pPr>
      <w:r>
        <w:rPr/>
        <w:t xml:space="preserve">三、跨界合作生态构建深度</w:t>
      </w:r>
    </w:p>
    <w:p>
      <w:pPr>
        <w:spacing w:before="75" w:after="0"/>
      </w:pPr>
      <w:r>
        <w:rPr/>
        <w:t xml:space="preserve">第二节 能源企业自研体系</w:t>
      </w:r>
    </w:p>
    <w:p>
      <w:pPr>
        <w:spacing w:before="75" w:after="0"/>
      </w:pPr>
      <w:r>
        <w:rPr/>
        <w:t xml:space="preserve">一、国家电网与南网大模型进展</w:t>
      </w:r>
    </w:p>
    <w:p>
      <w:pPr>
        <w:spacing w:before="75" w:after="0"/>
      </w:pPr>
      <w:r>
        <w:rPr/>
        <w:t xml:space="preserve">二、国际石油公司ai实验室成果</w:t>
      </w:r>
    </w:p>
    <w:p>
      <w:pPr>
        <w:spacing w:before="75" w:after="0"/>
      </w:pPr>
      <w:r>
        <w:rPr/>
        <w:t xml:space="preserve">三、发电集团内部孵化能力</w:t>
      </w:r>
    </w:p>
    <w:p>
      <w:pPr>
        <w:spacing w:before="75" w:after="0"/>
      </w:pPr>
      <w:r>
        <w:rPr/>
        <w:t xml:space="preserve">第三节 专业ai初创企业</w:t>
      </w:r>
    </w:p>
    <w:p>
      <w:pPr>
        <w:spacing w:before="75" w:after="0"/>
      </w:pPr>
      <w:r>
        <w:rPr/>
        <w:t xml:space="preserve">一、垂直领域模型精度优势</w:t>
      </w:r>
    </w:p>
    <w:p>
      <w:pPr>
        <w:spacing w:before="75" w:after="0"/>
      </w:pPr>
      <w:r>
        <w:rPr/>
        <w:t xml:space="preserve">二、快速交付与定制化能力</w:t>
      </w:r>
    </w:p>
    <w:p>
      <w:pPr>
        <w:spacing w:before="75" w:after="0"/>
      </w:pPr>
      <w:r>
        <w:rPr/>
        <w:t xml:space="preserve">三、融资轮次与估值水平</w:t>
      </w:r>
    </w:p>
    <w:p>
      <w:pPr>
        <w:spacing w:before="75" w:after="0"/>
      </w:pPr>
      <w:r>
        <w:rPr>
          <w:b w:val="1"/>
          <w:bCs w:val="1"/>
        </w:rPr>
        <w:t xml:space="preserve">第八章 中国能源大模型产业发展回顾</w:t>
      </w:r>
    </w:p>
    <w:p>
      <w:pPr>
        <w:spacing w:before="75" w:after="0"/>
      </w:pPr>
      <w:r>
        <w:rPr/>
        <w:t xml:space="preserve">第一节 市场规模与结构特征</w:t>
      </w:r>
    </w:p>
    <w:p>
      <w:pPr>
        <w:spacing w:before="75" w:after="0"/>
      </w:pPr>
      <w:r>
        <w:rPr/>
        <w:t xml:space="preserve">一、能源大模型项目招标数量</w:t>
      </w:r>
    </w:p>
    <w:p>
      <w:pPr>
        <w:spacing w:before="75" w:after="0"/>
      </w:pPr>
      <w:r>
        <w:rPr/>
        <w:t xml:space="preserve">二、央国企采购主导地位</w:t>
      </w:r>
    </w:p>
    <w:p>
      <w:pPr>
        <w:spacing w:before="75" w:after="0"/>
      </w:pPr>
      <w:r>
        <w:rPr/>
        <w:t xml:space="preserve">三、地方能源集团参与深化</w:t>
      </w:r>
    </w:p>
    <w:p>
      <w:pPr>
        <w:spacing w:before="75" w:after="0"/>
      </w:pPr>
      <w:r>
        <w:rPr/>
        <w:t xml:space="preserve">第二节 技术自主可控进展</w:t>
      </w:r>
    </w:p>
    <w:p>
      <w:pPr>
        <w:spacing w:before="75" w:after="0"/>
      </w:pPr>
      <w:r>
        <w:rPr/>
        <w:t xml:space="preserve">一、国产基座模型能源适配率</w:t>
      </w:r>
    </w:p>
    <w:p>
      <w:pPr>
        <w:spacing w:before="75" w:after="0"/>
      </w:pPr>
      <w:r>
        <w:rPr/>
        <w:t xml:space="preserve">二、中文电力术语理解准确率</w:t>
      </w:r>
    </w:p>
    <w:p>
      <w:pPr>
        <w:spacing w:before="75" w:after="0"/>
      </w:pPr>
      <w:r>
        <w:rPr/>
        <w:t xml:space="preserve">三、核心算法国产替代加速</w:t>
      </w:r>
    </w:p>
    <w:p>
      <w:pPr>
        <w:spacing w:before="75" w:after="0"/>
      </w:pPr>
      <w:r>
        <w:rPr/>
        <w:t xml:space="preserve">第三节 企业梯队发展格局</w:t>
      </w:r>
    </w:p>
    <w:p>
      <w:pPr>
        <w:spacing w:before="75" w:after="0"/>
      </w:pPr>
      <w:r>
        <w:rPr/>
        <w:t xml:space="preserve">一、电网所属科技企业引领</w:t>
      </w:r>
    </w:p>
    <w:p>
      <w:pPr>
        <w:spacing w:before="75" w:after="0"/>
      </w:pPr>
      <w:r>
        <w:rPr/>
        <w:t xml:space="preserve">二、互联网大厂平台输出</w:t>
      </w:r>
    </w:p>
    <w:p>
      <w:pPr>
        <w:spacing w:before="75" w:after="0"/>
      </w:pPr>
      <w:r>
        <w:rPr/>
        <w:t xml:space="preserve">三、技术型初创企业突破</w:t>
      </w:r>
    </w:p>
    <w:p>
      <w:pPr>
        <w:spacing w:before="75" w:after="0"/>
      </w:pPr>
      <w:r>
        <w:rPr>
          <w:b w:val="1"/>
          <w:bCs w:val="1"/>
        </w:rPr>
        <w:t xml:space="preserve">第九章 2023-2025年重点应用模块表现</w:t>
      </w:r>
    </w:p>
    <w:p>
      <w:pPr>
        <w:spacing w:before="75" w:after="0"/>
      </w:pPr>
      <w:r>
        <w:rPr/>
        <w:t xml:space="preserve">第一节 电力调度辅助类</w:t>
      </w:r>
    </w:p>
    <w:p>
      <w:pPr>
        <w:spacing w:before="75" w:after="0"/>
      </w:pPr>
      <w:r>
        <w:rPr/>
        <w:t xml:space="preserve">一、调度指令生成采纳率</w:t>
      </w:r>
    </w:p>
    <w:p>
      <w:pPr>
        <w:spacing w:before="75" w:after="0"/>
      </w:pPr>
      <w:r>
        <w:rPr/>
        <w:t xml:space="preserve">二、计划偏差解释清晰度</w:t>
      </w:r>
    </w:p>
    <w:p>
      <w:pPr>
        <w:spacing w:before="75" w:after="0"/>
      </w:pPr>
      <w:r>
        <w:rPr/>
        <w:t xml:space="preserve">三、异常工况响应时效性</w:t>
      </w:r>
    </w:p>
    <w:p>
      <w:pPr>
        <w:spacing w:before="75" w:after="0"/>
      </w:pPr>
      <w:r>
        <w:rPr/>
        <w:t xml:space="preserve">第二节 能效与碳管理类</w:t>
      </w:r>
    </w:p>
    <w:p>
      <w:pPr>
        <w:spacing w:before="75" w:after="0"/>
      </w:pPr>
      <w:r>
        <w:rPr/>
        <w:t xml:space="preserve">一、碳排核算误差率</w:t>
      </w:r>
    </w:p>
    <w:p>
      <w:pPr>
        <w:spacing w:before="75" w:after="0"/>
      </w:pPr>
      <w:r>
        <w:rPr/>
        <w:t xml:space="preserve">二、节能建议实施转化率</w:t>
      </w:r>
    </w:p>
    <w:p>
      <w:pPr>
        <w:spacing w:before="75" w:after="0"/>
      </w:pPr>
      <w:r>
        <w:rPr/>
        <w:t xml:space="preserve">三、绿电溯源可信度评分</w:t>
      </w:r>
    </w:p>
    <w:p>
      <w:pPr>
        <w:spacing w:before="75" w:after="0"/>
      </w:pPr>
      <w:r>
        <w:rPr/>
        <w:t xml:space="preserve">第三节 设备运维支持类</w:t>
      </w:r>
    </w:p>
    <w:p>
      <w:pPr>
        <w:spacing w:before="75" w:after="0"/>
      </w:pPr>
      <w:r>
        <w:rPr/>
        <w:t xml:space="preserve">一、故障报告自动生成完整度</w:t>
      </w:r>
    </w:p>
    <w:p>
      <w:pPr>
        <w:spacing w:before="75" w:after="0"/>
      </w:pPr>
      <w:r>
        <w:rPr/>
        <w:t xml:space="preserve">二、维修方案推荐准确率</w:t>
      </w:r>
    </w:p>
    <w:p>
      <w:pPr>
        <w:spacing w:before="75" w:after="0"/>
      </w:pPr>
      <w:r>
        <w:rPr/>
        <w:t xml:space="preserve">三、知识库问答满意度</w:t>
      </w:r>
    </w:p>
    <w:p>
      <w:pPr>
        <w:spacing w:before="75" w:after="0"/>
      </w:pPr>
      <w:r>
        <w:rPr>
          <w:b w:val="1"/>
          <w:bCs w:val="1"/>
        </w:rPr>
        <w:t xml:space="preserve">第十章 2023-2025年行业与区域应用分析</w:t>
      </w:r>
    </w:p>
    <w:p>
      <w:pPr>
        <w:spacing w:before="75" w:after="0"/>
      </w:pPr>
      <w:r>
        <w:rPr/>
        <w:t xml:space="preserve">第一节 电力行业深度应用</w:t>
      </w:r>
    </w:p>
    <w:p>
      <w:pPr>
        <w:spacing w:before="75" w:after="0"/>
      </w:pPr>
      <w:r>
        <w:rPr/>
        <w:t xml:space="preserve">一、省级电网调度中心试点覆盖</w:t>
      </w:r>
    </w:p>
    <w:p>
      <w:pPr>
        <w:spacing w:before="75" w:after="0"/>
      </w:pPr>
      <w:r>
        <w:rPr/>
        <w:t xml:space="preserve">二、新能源场站智能运维需求</w:t>
      </w:r>
    </w:p>
    <w:p>
      <w:pPr>
        <w:spacing w:before="75" w:after="0"/>
      </w:pPr>
      <w:r>
        <w:rPr/>
        <w:t xml:space="preserve">三、配网台区精细化管理</w:t>
      </w:r>
    </w:p>
    <w:p>
      <w:pPr>
        <w:spacing w:before="75" w:after="0"/>
      </w:pPr>
      <w:r>
        <w:rPr/>
        <w:t xml:space="preserve">第二节 工业与建筑能源管理</w:t>
      </w:r>
    </w:p>
    <w:p>
      <w:pPr>
        <w:spacing w:before="75" w:after="0"/>
      </w:pPr>
      <w:r>
        <w:rPr/>
        <w:t xml:space="preserve">一、高耗能企业能效优化诉求</w:t>
      </w:r>
    </w:p>
    <w:p>
      <w:pPr>
        <w:spacing w:before="75" w:after="0"/>
      </w:pPr>
      <w:r>
        <w:rPr/>
        <w:t xml:space="preserve">二、园区综合能源调度复杂度</w:t>
      </w:r>
    </w:p>
    <w:p>
      <w:pPr>
        <w:spacing w:before="75" w:after="0"/>
      </w:pPr>
      <w:r>
        <w:rPr/>
        <w:t xml:space="preserve">三、楼宇柔性负荷聚合潜力</w:t>
      </w:r>
    </w:p>
    <w:p>
      <w:pPr>
        <w:spacing w:before="75" w:after="0"/>
      </w:pPr>
      <w:r>
        <w:rPr/>
        <w:t xml:space="preserve">第三节 区域发展差异特征</w:t>
      </w:r>
    </w:p>
    <w:p>
      <w:pPr>
        <w:spacing w:before="75" w:after="0"/>
      </w:pPr>
      <w:r>
        <w:rPr/>
        <w:t xml:space="preserve">一、东部数字化基础支撑强</w:t>
      </w:r>
    </w:p>
    <w:p>
      <w:pPr>
        <w:spacing w:before="75" w:after="0"/>
      </w:pPr>
      <w:r>
        <w:rPr/>
        <w:t xml:space="preserve">二、西部绿电消纳驱动明显</w:t>
      </w:r>
    </w:p>
    <w:p>
      <w:pPr>
        <w:spacing w:before="75" w:after="0"/>
      </w:pPr>
      <w:r>
        <w:rPr/>
        <w:t xml:space="preserve">三、中部工业转型需求迫切</w:t>
      </w:r>
    </w:p>
    <w:p>
      <w:pPr>
        <w:spacing w:before="75" w:after="0"/>
      </w:pPr>
      <w:r>
        <w:rPr>
          <w:b w:val="1"/>
          <w:bCs w:val="1"/>
        </w:rPr>
        <w:t xml:space="preserve">第十一章 2026-2031年全球能源大模型市场预测</w:t>
      </w:r>
    </w:p>
    <w:p>
      <w:pPr>
        <w:spacing w:before="75" w:after="0"/>
      </w:pPr>
      <w:r>
        <w:rPr/>
        <w:t xml:space="preserve">第一节 市场规模与增长动力</w:t>
      </w:r>
    </w:p>
    <w:p>
      <w:pPr>
        <w:spacing w:before="75" w:after="0"/>
      </w:pPr>
      <w:r>
        <w:rPr/>
        <w:t xml:space="preserve">一、能源大模型成为标准基础设施</w:t>
      </w:r>
    </w:p>
    <w:p>
      <w:pPr>
        <w:spacing w:before="75" w:after="0"/>
      </w:pPr>
      <w:r>
        <w:rPr/>
        <w:t xml:space="preserve">二、中小企业saas化服务放量</w:t>
      </w:r>
    </w:p>
    <w:p>
      <w:pPr>
        <w:spacing w:before="75" w:after="0"/>
      </w:pPr>
      <w:r>
        <w:rPr/>
        <w:t xml:space="preserve">三、新兴市场数字化缺口释放</w:t>
      </w:r>
    </w:p>
    <w:p>
      <w:pPr>
        <w:spacing w:before="75" w:after="0"/>
      </w:pPr>
      <w:r>
        <w:rPr/>
        <w:t xml:space="preserve">第二节 技术代际演进节奏</w:t>
      </w:r>
    </w:p>
    <w:p>
      <w:pPr>
        <w:spacing w:before="75" w:after="0"/>
      </w:pPr>
      <w:r>
        <w:rPr/>
        <w:t xml:space="preserve">一、多智能体协同调度系统试点应用</w:t>
      </w:r>
    </w:p>
    <w:p>
      <w:pPr>
        <w:spacing w:before="75" w:after="0"/>
      </w:pPr>
      <w:r>
        <w:rPr/>
        <w:t xml:space="preserve">二、神经符号混合方法探索性应用</w:t>
      </w:r>
    </w:p>
    <w:p>
      <w:pPr>
        <w:spacing w:before="75" w:after="0"/>
      </w:pPr>
      <w:r>
        <w:rPr/>
        <w:t xml:space="preserve">三、全生命周期自主优化实现</w:t>
      </w:r>
    </w:p>
    <w:p>
      <w:pPr>
        <w:spacing w:before="75" w:after="0"/>
      </w:pPr>
      <w:r>
        <w:rPr/>
        <w:t xml:space="preserve">第三节 区域竞争格局演变</w:t>
      </w:r>
    </w:p>
    <w:p>
      <w:pPr>
        <w:spacing w:before="75" w:after="0"/>
      </w:pPr>
      <w:r>
        <w:rPr/>
        <w:t xml:space="preserve">一、中美技术路线分化加剧</w:t>
      </w:r>
    </w:p>
    <w:p>
      <w:pPr>
        <w:spacing w:before="75" w:after="0"/>
      </w:pPr>
      <w:r>
        <w:rPr/>
        <w:t xml:space="preserve">二、欧洲标准与伦理影响力</w:t>
      </w:r>
    </w:p>
    <w:p>
      <w:pPr>
        <w:spacing w:before="75" w:after="0"/>
      </w:pPr>
      <w:r>
        <w:rPr/>
        <w:t xml:space="preserve">三、本地化模型服务兴起</w:t>
      </w:r>
    </w:p>
    <w:p>
      <w:pPr>
        <w:spacing w:before="75" w:after="0"/>
      </w:pPr>
      <w:r>
        <w:rPr>
          <w:b w:val="1"/>
          <w:bCs w:val="1"/>
        </w:rPr>
        <w:t xml:space="preserve">第十二章 2026-2031年技术发展方向预测</w:t>
      </w:r>
    </w:p>
    <w:p>
      <w:pPr>
        <w:spacing w:before="75" w:after="0"/>
      </w:pPr>
      <w:r>
        <w:rPr/>
        <w:t xml:space="preserve">第一节 认知与推理能力突破</w:t>
      </w:r>
    </w:p>
    <w:p>
      <w:pPr>
        <w:spacing w:before="75" w:after="0"/>
      </w:pPr>
      <w:r>
        <w:rPr/>
        <w:t xml:space="preserve">一、能源物理规律嵌入生成</w:t>
      </w:r>
    </w:p>
    <w:p>
      <w:pPr>
        <w:spacing w:before="75" w:after="0"/>
      </w:pPr>
      <w:r>
        <w:rPr/>
        <w:t xml:space="preserve">二、长期运行目标规划能力</w:t>
      </w:r>
    </w:p>
    <w:p>
      <w:pPr>
        <w:spacing w:before="75" w:after="0"/>
      </w:pPr>
      <w:r>
        <w:rPr/>
        <w:t xml:space="preserve">三、多目标权衡决策机制</w:t>
      </w:r>
    </w:p>
    <w:p>
      <w:pPr>
        <w:spacing w:before="75" w:after="0"/>
      </w:pPr>
      <w:r>
        <w:rPr/>
        <w:t xml:space="preserve">第二节 实时感知与闭环控制</w:t>
      </w:r>
    </w:p>
    <w:p>
      <w:pPr>
        <w:spacing w:before="75" w:after="0"/>
      </w:pPr>
      <w:r>
        <w:rPr/>
        <w:t xml:space="preserve">一、流式能源数据端到端推理平均延迟</w:t>
      </w:r>
    </w:p>
    <w:p>
      <w:pPr>
        <w:spacing w:before="75" w:after="0"/>
      </w:pPr>
      <w:r>
        <w:rPr/>
        <w:t xml:space="preserve">二、控制指令安全校验机制</w:t>
      </w:r>
    </w:p>
    <w:p>
      <w:pPr>
        <w:spacing w:before="75" w:after="0"/>
      </w:pPr>
      <w:r>
        <w:rPr/>
        <w:t xml:space="preserve">三、人机协同干预阈值设定</w:t>
      </w:r>
    </w:p>
    <w:p>
      <w:pPr>
        <w:spacing w:before="75" w:after="0"/>
      </w:pPr>
      <w:r>
        <w:rPr/>
        <w:t xml:space="preserve">第三节 绿色与可持续ai</w:t>
      </w:r>
    </w:p>
    <w:p>
      <w:pPr>
        <w:spacing w:before="75" w:after="0"/>
      </w:pPr>
      <w:r>
        <w:rPr/>
        <w:t xml:space="preserve">一、低功耗推理芯片适配率</w:t>
      </w:r>
    </w:p>
    <w:p>
      <w:pPr>
        <w:spacing w:before="75" w:after="0"/>
      </w:pPr>
      <w:r>
        <w:rPr/>
        <w:t xml:space="preserve">二、训练碳排放追踪机制</w:t>
      </w:r>
    </w:p>
    <w:p>
      <w:pPr>
        <w:spacing w:before="75" w:after="0"/>
      </w:pPr>
      <w:r>
        <w:rPr/>
        <w:t xml:space="preserve">三、模型能效比优化路径</w:t>
      </w:r>
    </w:p>
    <w:p>
      <w:pPr>
        <w:spacing w:before="75" w:after="0"/>
      </w:pPr>
      <w:r>
        <w:rPr>
          <w:b w:val="1"/>
          <w:bCs w:val="1"/>
        </w:rPr>
        <w:t xml:space="preserve">第十三章 2026-2031年产业链协同预测</w:t>
      </w:r>
    </w:p>
    <w:p>
      <w:pPr>
        <w:spacing w:before="75" w:after="0"/>
      </w:pPr>
      <w:r>
        <w:rPr/>
        <w:t xml:space="preserve">第一节 上游融合创新</w:t>
      </w:r>
    </w:p>
    <w:p>
      <w:pPr>
        <w:spacing w:before="75" w:after="0"/>
      </w:pPr>
      <w:r>
        <w:rPr/>
        <w:t xml:space="preserve">一、能源专用指令集芯片研发</w:t>
      </w:r>
    </w:p>
    <w:p>
      <w:pPr>
        <w:spacing w:before="75" w:after="0"/>
      </w:pPr>
      <w:r>
        <w:rPr/>
        <w:t xml:space="preserve">二、高质量合成数据生成技术</w:t>
      </w:r>
    </w:p>
    <w:p>
      <w:pPr>
        <w:spacing w:before="75" w:after="0"/>
      </w:pPr>
      <w:r>
        <w:rPr/>
        <w:t xml:space="preserve">三、联邦学习跨企业协作</w:t>
      </w:r>
    </w:p>
    <w:p>
      <w:pPr>
        <w:spacing w:before="75" w:after="0"/>
      </w:pPr>
      <w:r>
        <w:rPr/>
        <w:t xml:space="preserve">第二节 中游开发范式变革</w:t>
      </w:r>
    </w:p>
    <w:p>
      <w:pPr>
        <w:spacing w:before="75" w:after="0"/>
      </w:pPr>
      <w:r>
        <w:rPr/>
        <w:t xml:space="preserve">一、低代码模型定制平台普及</w:t>
      </w:r>
    </w:p>
    <w:p>
      <w:pPr>
        <w:spacing w:before="75" w:after="0"/>
      </w:pPr>
      <w:r>
        <w:rPr/>
        <w:t xml:space="preserve">二、自动化验证测试体系</w:t>
      </w:r>
    </w:p>
    <w:p>
      <w:pPr>
        <w:spacing w:before="75" w:after="0"/>
      </w:pPr>
      <w:r>
        <w:rPr/>
        <w:t xml:space="preserve">三、模型即服务订阅模式</w:t>
      </w:r>
    </w:p>
    <w:p>
      <w:pPr>
        <w:spacing w:before="75" w:after="0"/>
      </w:pPr>
      <w:r>
        <w:rPr/>
        <w:t xml:space="preserve">第三节 下游价值释放机制</w:t>
      </w:r>
    </w:p>
    <w:p>
      <w:pPr>
        <w:spacing w:before="75" w:after="0"/>
      </w:pPr>
      <w:r>
        <w:rPr/>
        <w:t xml:space="preserve">一、基于性能的商业合作模式</w:t>
      </w:r>
    </w:p>
    <w:p>
      <w:pPr>
        <w:spacing w:before="75" w:after="0"/>
      </w:pPr>
      <w:r>
        <w:rPr/>
        <w:t xml:space="preserve">二、跨场景模型迁移能力</w:t>
      </w:r>
    </w:p>
    <w:p>
      <w:pPr>
        <w:spacing w:before="75" w:after="0"/>
      </w:pPr>
      <w:r>
        <w:rPr/>
        <w:t xml:space="preserve">三、用户数据主权保障</w:t>
      </w:r>
    </w:p>
    <w:p>
      <w:pPr>
        <w:spacing w:before="75" w:after="0"/>
      </w:pPr>
      <w:r>
        <w:rPr>
          <w:b w:val="1"/>
          <w:bCs w:val="1"/>
        </w:rPr>
        <w:t xml:space="preserve">第十四章 新兴应用场景预测</w:t>
      </w:r>
    </w:p>
    <w:p>
      <w:pPr>
        <w:spacing w:before="75" w:after="0"/>
      </w:pPr>
      <w:r>
        <w:rPr/>
        <w:t xml:space="preserve">第一节 极端气候能源韧性</w:t>
      </w:r>
    </w:p>
    <w:p>
      <w:pPr>
        <w:spacing w:before="75" w:after="0"/>
      </w:pPr>
      <w:r>
        <w:rPr/>
        <w:t xml:space="preserve">一、灾害前能源系统脆弱性评估</w:t>
      </w:r>
    </w:p>
    <w:p>
      <w:pPr>
        <w:spacing w:before="75" w:after="0"/>
      </w:pPr>
      <w:r>
        <w:rPr/>
        <w:t xml:space="preserve">二、应急电源调度方案生成</w:t>
      </w:r>
    </w:p>
    <w:p>
      <w:pPr>
        <w:spacing w:before="75" w:after="0"/>
      </w:pPr>
      <w:r>
        <w:rPr/>
        <w:t xml:space="preserve">三、灾后恢复路径智能推演</w:t>
      </w:r>
    </w:p>
    <w:p>
      <w:pPr>
        <w:spacing w:before="75" w:after="0"/>
      </w:pPr>
      <w:r>
        <w:rPr/>
        <w:t xml:space="preserve">第二节 电碳市场智能撮合</w:t>
      </w:r>
    </w:p>
    <w:p>
      <w:pPr>
        <w:spacing w:before="75" w:after="0"/>
      </w:pPr>
      <w:r>
        <w:rPr/>
        <w:t xml:space="preserve">一、绿证-碳配额联动定价</w:t>
      </w:r>
    </w:p>
    <w:p>
      <w:pPr>
        <w:spacing w:before="75" w:after="0"/>
      </w:pPr>
      <w:r>
        <w:rPr/>
        <w:t xml:space="preserve">二、虚拟电厂参与市场策略</w:t>
      </w:r>
    </w:p>
    <w:p>
      <w:pPr>
        <w:spacing w:before="75" w:after="0"/>
      </w:pPr>
      <w:r>
        <w:rPr/>
        <w:t xml:space="preserve">三、跨境绿电交易合规审查</w:t>
      </w:r>
    </w:p>
    <w:p>
      <w:pPr>
        <w:spacing w:before="75" w:after="0"/>
      </w:pPr>
      <w:r>
        <w:rPr/>
        <w:t xml:space="preserve">第三节 能源-交通-建筑耦合</w:t>
      </w:r>
    </w:p>
    <w:p>
      <w:pPr>
        <w:spacing w:before="75" w:after="0"/>
      </w:pPr>
      <w:r>
        <w:rPr/>
        <w:t xml:space="preserve">一、v2g车网互动优化</w:t>
      </w:r>
    </w:p>
    <w:p>
      <w:pPr>
        <w:spacing w:before="75" w:after="0"/>
      </w:pPr>
      <w:r>
        <w:rPr/>
        <w:t xml:space="preserve">二、建筑群冷热电协同</w:t>
      </w:r>
    </w:p>
    <w:p>
      <w:pPr>
        <w:spacing w:before="75" w:after="0"/>
      </w:pPr>
      <w:r>
        <w:rPr/>
        <w:t xml:space="preserve">三、分布式能源聚合优化</w:t>
      </w:r>
    </w:p>
    <w:p>
      <w:pPr>
        <w:spacing w:before="75" w:after="0"/>
      </w:pPr>
      <w:r>
        <w:rPr>
          <w:b w:val="1"/>
          <w:bCs w:val="1"/>
        </w:rPr>
        <w:t xml:space="preserve">第十五章 全球竞争格局演变预测</w:t>
      </w:r>
    </w:p>
    <w:p>
      <w:pPr>
        <w:spacing w:before="75" w:after="0"/>
      </w:pPr>
      <w:r>
        <w:rPr/>
        <w:t xml:space="preserve">第一节 企业战略分化</w:t>
      </w:r>
    </w:p>
    <w:p>
      <w:pPr>
        <w:spacing w:before="75" w:after="0"/>
      </w:pPr>
      <w:r>
        <w:rPr/>
        <w:t xml:space="preserve">一、平台型巨头生态垄断</w:t>
      </w:r>
    </w:p>
    <w:p>
      <w:pPr>
        <w:spacing w:before="75" w:after="0"/>
      </w:pPr>
      <w:r>
        <w:rPr/>
        <w:t xml:space="preserve">二、垂直领域专家型企业崛起</w:t>
      </w:r>
    </w:p>
    <w:p>
      <w:pPr>
        <w:spacing w:before="75" w:after="0"/>
      </w:pPr>
      <w:r>
        <w:rPr/>
        <w:t xml:space="preserve">三、开源社区驱动创新</w:t>
      </w:r>
    </w:p>
    <w:p>
      <w:pPr>
        <w:spacing w:before="75" w:after="0"/>
      </w:pPr>
      <w:r>
        <w:rPr/>
        <w:t xml:space="preserve">第二节 供应链与人才竞争</w:t>
      </w:r>
    </w:p>
    <w:p>
      <w:pPr>
        <w:spacing w:before="75" w:after="0"/>
      </w:pPr>
      <w:r>
        <w:rPr/>
        <w:t xml:space="preserve">一、高端能源ai复合人才争夺</w:t>
      </w:r>
    </w:p>
    <w:p>
      <w:pPr>
        <w:spacing w:before="75" w:after="0"/>
      </w:pPr>
      <w:r>
        <w:rPr/>
        <w:t xml:space="preserve">二、高质量能源数据壁垒形成</w:t>
      </w:r>
    </w:p>
    <w:p>
      <w:pPr>
        <w:spacing w:before="75" w:after="0"/>
      </w:pPr>
      <w:r>
        <w:rPr/>
        <w:t xml:space="preserve">三、算力资源区域集中度提升</w:t>
      </w:r>
    </w:p>
    <w:p>
      <w:pPr>
        <w:spacing w:before="75" w:after="0"/>
      </w:pPr>
      <w:r>
        <w:rPr/>
        <w:t xml:space="preserve">第三节 标准与互操作性</w:t>
      </w:r>
    </w:p>
    <w:p>
      <w:pPr>
        <w:spacing w:before="75" w:after="0"/>
      </w:pPr>
      <w:r>
        <w:rPr/>
        <w:t xml:space="preserve">一、模型接口统一协议推进</w:t>
      </w:r>
    </w:p>
    <w:p>
      <w:pPr>
        <w:spacing w:before="75" w:after="0"/>
      </w:pPr>
      <w:r>
        <w:rPr/>
        <w:t xml:space="preserve">二、能力描述标准化体系</w:t>
      </w:r>
    </w:p>
    <w:p>
      <w:pPr>
        <w:spacing w:before="75" w:after="0"/>
      </w:pPr>
      <w:r>
        <w:rPr/>
        <w:t xml:space="preserve">三、跨平台迁移框架建立</w:t>
      </w:r>
    </w:p>
    <w:p>
      <w:pPr>
        <w:spacing w:before="75" w:after="0"/>
      </w:pPr>
      <w:r>
        <w:rPr>
          <w:b w:val="1"/>
          <w:bCs w:val="1"/>
        </w:rPr>
        <w:t xml:space="preserve">第十六章 行业风险与投资机会展望</w:t>
      </w:r>
    </w:p>
    <w:p>
      <w:pPr>
        <w:spacing w:before="75" w:after="0"/>
      </w:pPr>
      <w:r>
        <w:rPr/>
        <w:t xml:space="preserve">第一节 主要经营风险识别</w:t>
      </w:r>
    </w:p>
    <w:p>
      <w:pPr>
        <w:spacing w:before="75" w:after="0"/>
      </w:pPr>
      <w:r>
        <w:rPr/>
        <w:t xml:space="preserve">一、技术路线不确定性</w:t>
      </w:r>
    </w:p>
    <w:p>
      <w:pPr>
        <w:spacing w:before="75" w:after="0"/>
      </w:pPr>
      <w:r>
        <w:rPr/>
        <w:t xml:space="preserve">二、能源安全责任边界模糊</w:t>
      </w:r>
    </w:p>
    <w:p>
      <w:pPr>
        <w:spacing w:before="75" w:after="0"/>
      </w:pPr>
      <w:r>
        <w:rPr/>
        <w:t xml:space="preserve">三、数据隐私与合规压力</w:t>
      </w:r>
    </w:p>
    <w:p>
      <w:pPr>
        <w:spacing w:before="75" w:after="0"/>
      </w:pPr>
      <w:r>
        <w:rPr/>
        <w:t xml:space="preserve">第二节 产业链投资热点</w:t>
      </w:r>
    </w:p>
    <w:p>
      <w:pPr>
        <w:spacing w:before="75" w:after="0"/>
      </w:pPr>
      <w:r>
        <w:rPr/>
        <w:t xml:space="preserve">一、能源专用大模型基座</w:t>
      </w:r>
    </w:p>
    <w:p>
      <w:pPr>
        <w:spacing w:before="75" w:after="0"/>
      </w:pPr>
      <w:r>
        <w:rPr/>
        <w:t xml:space="preserve">二、可信ai训练与验证工具</w:t>
      </w:r>
    </w:p>
    <w:p>
      <w:pPr>
        <w:spacing w:before="75" w:after="0"/>
      </w:pPr>
      <w:r>
        <w:rPr/>
        <w:t xml:space="preserve">三、行业知识增强数据集</w:t>
      </w:r>
    </w:p>
    <w:p>
      <w:pPr>
        <w:spacing w:before="75" w:after="0"/>
      </w:pPr>
      <w:r>
        <w:rPr/>
        <w:t xml:space="preserve">第三节 企业发展战略建议</w:t>
      </w:r>
    </w:p>
    <w:p>
      <w:pPr>
        <w:spacing w:before="75" w:after="0"/>
      </w:pPr>
      <w:r>
        <w:rPr/>
        <w:t xml:space="preserve">一、深度服务大型能源集团项目</w:t>
      </w:r>
    </w:p>
    <w:p>
      <w:pPr>
        <w:spacing w:before="75" w:after="0"/>
      </w:pPr>
      <w:r>
        <w:rPr/>
        <w:t xml:space="preserve">二、构建垂直场景数据飞轮</w:t>
      </w:r>
    </w:p>
    <w:p>
      <w:pPr>
        <w:spacing w:before="75" w:after="0"/>
      </w:pPr>
      <w:r>
        <w:rPr/>
        <w:t xml:space="preserve">三、参与国际标准制定</w:t>
      </w:r>
    </w:p>
    <w:p>
      <w:pPr>
        <w:spacing w:before="75" w:after="0"/>
      </w:pPr>
      <w:r>
        <w:rPr>
          <w:b w:val="1"/>
          <w:bCs w:val="1"/>
        </w:rPr>
        <w:t xml:space="preserve">图表目录</w:t>
      </w:r>
    </w:p>
    <w:p>
      <w:pPr>
        <w:spacing w:before="75" w:after="0"/>
      </w:pPr>
      <w:r>
        <w:rPr/>
        <w:t xml:space="preserve">图表：2023-2025年全球能源企业ai研发支出强度</w:t>
      </w:r>
    </w:p>
    <w:p>
      <w:pPr>
        <w:spacing w:before="75" w:after="0"/>
      </w:pPr>
      <w:r>
        <w:rPr/>
        <w:t xml:space="preserve">图表：2023-2025年北美电力调度大模型试点数</w:t>
      </w:r>
    </w:p>
    <w:p>
      <w:pPr>
        <w:spacing w:before="75" w:after="0"/>
      </w:pPr>
      <w:r>
        <w:rPr/>
        <w:t xml:space="preserve">图表：2023-2025年欧洲绿色能源协同项目数</w:t>
      </w:r>
    </w:p>
    <w:p>
      <w:pPr>
        <w:spacing w:before="75" w:after="0"/>
      </w:pPr>
      <w:r>
        <w:rPr/>
        <w:t xml:space="preserve">图表：2023-2025年亚太工业能源场景落地密度</w:t>
      </w:r>
    </w:p>
    <w:p>
      <w:pPr>
        <w:spacing w:before="75" w:after="0"/>
      </w:pPr>
      <w:r>
        <w:rPr/>
        <w:t xml:space="preserve">图表：2023-2025年能源预训练语料覆盖广度</w:t>
      </w:r>
    </w:p>
    <w:p>
      <w:pPr>
        <w:spacing w:before="75" w:after="0"/>
      </w:pPr>
      <w:r>
        <w:rPr/>
        <w:t xml:space="preserve">图表：2023-2025年领域微调任务平均准确率</w:t>
      </w:r>
    </w:p>
    <w:p>
      <w:pPr>
        <w:spacing w:before="75" w:after="0"/>
      </w:pPr>
      <w:r>
        <w:rPr/>
        <w:t xml:space="preserve">图表：2023-2025年单位推理任务能耗与算力成本</w:t>
      </w:r>
    </w:p>
    <w:p>
      <w:pPr>
        <w:spacing w:before="75" w:after="0"/>
      </w:pPr>
      <w:r>
        <w:rPr/>
        <w:t xml:space="preserve">图表：2023-2025年高性能计算集群能源配置</w:t>
      </w:r>
    </w:p>
    <w:p>
      <w:pPr>
        <w:spacing w:before="75" w:after="0"/>
      </w:pPr>
      <w:r>
        <w:rPr/>
        <w:t xml:space="preserve">图表：2023-2025年能源大模型专用ai芯片部署规模</w:t>
      </w:r>
    </w:p>
    <w:p>
      <w:pPr>
        <w:spacing w:before="75" w:after="0"/>
      </w:pPr>
      <w:r>
        <w:rPr/>
        <w:t xml:space="preserve">图表：2023-2025年高质量标注数据集规模</w:t>
      </w:r>
    </w:p>
    <w:p>
      <w:pPr>
        <w:spacing w:before="75" w:after="0"/>
      </w:pPr>
      <w:r>
        <w:rPr/>
        <w:t xml:space="preserve">图表：2023-2025年国际开源能源模型贡献度</w:t>
      </w:r>
    </w:p>
    <w:p>
      <w:pPr>
        <w:spacing w:before="75" w:after="0"/>
      </w:pPr>
      <w:r>
        <w:rPr/>
        <w:t xml:space="preserve">图表：2023-2025年中文能源领域预训练语料规模</w:t>
      </w:r>
    </w:p>
    <w:p>
      <w:pPr>
        <w:spacing w:before="75" w:after="0"/>
      </w:pPr>
      <w:r>
        <w:rPr/>
        <w:t xml:space="preserve">图表：2023-2025年能源知识增强预训练比例</w:t>
      </w:r>
    </w:p>
    <w:p>
      <w:pPr>
        <w:spacing w:before="75" w:after="0"/>
      </w:pPr>
      <w:r>
        <w:rPr/>
        <w:t xml:space="preserve">图表：2023-2025年电力调度指令理解准确率</w:t>
      </w:r>
    </w:p>
    <w:p>
      <w:pPr>
        <w:spacing w:before="75" w:after="0"/>
      </w:pPr>
      <w:r>
        <w:rPr/>
        <w:t xml:space="preserve">图表：2023-2025年碳排核算逻辑一致性评分</w:t>
      </w:r>
    </w:p>
    <w:p>
      <w:pPr>
        <w:spacing w:before="75" w:after="0"/>
      </w:pPr>
      <w:r>
        <w:rPr/>
        <w:t xml:space="preserve">图表：2023-2025年模型压缩技术应用率</w:t>
      </w:r>
    </w:p>
    <w:p>
      <w:pPr>
        <w:spacing w:before="75" w:after="0"/>
      </w:pPr>
      <w:r>
        <w:rPr/>
        <w:t xml:space="preserve">图表：2023-2025年短期负荷预测误差率</w:t>
      </w:r>
    </w:p>
    <w:p>
      <w:pPr>
        <w:spacing w:before="75" w:after="0"/>
      </w:pPr>
      <w:r>
        <w:rPr/>
        <w:t xml:space="preserve">图表：2023-2025年油气钻井参数推荐采纳率</w:t>
      </w:r>
    </w:p>
    <w:p>
      <w:pPr>
        <w:spacing w:before="75" w:after="0"/>
      </w:pPr>
      <w:r>
        <w:rPr/>
        <w:t xml:space="preserve">图表：2023-2025年企业碳足迹自动核算覆盖率</w:t>
      </w:r>
    </w:p>
    <w:p>
      <w:pPr>
        <w:spacing w:before="75" w:after="0"/>
      </w:pPr>
      <w:r>
        <w:rPr/>
        <w:t xml:space="preserve">图表：2023-2025年因果推理相关专利申请数量</w:t>
      </w:r>
    </w:p>
    <w:p>
      <w:pPr>
        <w:spacing w:before="75" w:after="0"/>
      </w:pPr>
      <w:r>
        <w:rPr/>
        <w:t xml:space="preserve">图表：2023-2025年多模态联合建模项目数</w:t>
      </w:r>
    </w:p>
    <w:p>
      <w:pPr>
        <w:spacing w:before="75" w:after="0"/>
      </w:pPr>
      <w:r>
        <w:rPr/>
        <w:t xml:space="preserve">图表：2023-2025年幻觉抑制技术部署比例</w:t>
      </w:r>
    </w:p>
    <w:p>
      <w:pPr>
        <w:spacing w:before="75" w:after="0"/>
      </w:pPr>
      <w:r>
        <w:rPr/>
        <w:t xml:space="preserve">图表：2023-2025年国际云厂商能源模型收入</w:t>
      </w:r>
    </w:p>
    <w:p>
      <w:pPr>
        <w:spacing w:before="75" w:after="0"/>
      </w:pPr>
      <w:r>
        <w:rPr/>
        <w:t xml:space="preserve">图表：2023-2025年国家电网大模型试点数量</w:t>
      </w:r>
    </w:p>
    <w:p>
      <w:pPr>
        <w:spacing w:before="75" w:after="0"/>
      </w:pPr>
      <w:r>
        <w:rPr/>
        <w:t xml:space="preserve">图表：2023-2025年能源ai初创企业融资额</w:t>
      </w:r>
    </w:p>
    <w:p>
      <w:pPr>
        <w:spacing w:before="75" w:after="0"/>
      </w:pPr>
      <w:r>
        <w:rPr/>
        <w:t xml:space="preserve">图表：2023-2025年中国能源大模型招标数量</w:t>
      </w:r>
    </w:p>
    <w:p>
      <w:pPr>
        <w:spacing w:before="75" w:after="0"/>
      </w:pPr>
      <w:r>
        <w:rPr/>
        <w:t xml:space="preserve">图表：2023-2025年国产基座模型能源适配率</w:t>
      </w:r>
    </w:p>
    <w:p>
      <w:pPr>
        <w:spacing w:before="75" w:after="0"/>
      </w:pPr>
      <w:r>
        <w:rPr/>
        <w:t xml:space="preserve">图表：2023-2025年电网系科技公司市占率</w:t>
      </w:r>
    </w:p>
    <w:p>
      <w:pPr>
        <w:spacing w:before="75" w:after="0"/>
      </w:pPr>
      <w:r>
        <w:rPr/>
        <w:t xml:space="preserve">图表：2023-2025年调度指令生成采纳率</w:t>
      </w:r>
    </w:p>
    <w:p>
      <w:pPr>
        <w:spacing w:before="75" w:after="0"/>
      </w:pPr>
      <w:r>
        <w:rPr/>
        <w:t xml:space="preserve">图表：2023-2025年碳排核算误差率</w:t>
      </w:r>
    </w:p>
    <w:p>
      <w:pPr>
        <w:spacing w:before="75" w:after="0"/>
      </w:pPr>
      <w:r>
        <w:rPr/>
        <w:t xml:space="preserve">图表：2023-2025年故障报告生成完整度</w:t>
      </w:r>
    </w:p>
    <w:p>
      <w:pPr>
        <w:spacing w:before="75" w:after="0"/>
      </w:pPr>
      <w:r>
        <w:rPr/>
        <w:t xml:space="preserve">图表：2023-2025年省级电网调度中心覆盖数</w:t>
      </w:r>
    </w:p>
    <w:p>
      <w:pPr>
        <w:spacing w:before="75" w:after="0"/>
      </w:pPr>
      <w:r>
        <w:rPr/>
        <w:t xml:space="preserve">图表：2023-2025年高耗能企业能效优化需求</w:t>
      </w:r>
    </w:p>
    <w:p>
      <w:pPr>
        <w:spacing w:before="75" w:after="0"/>
      </w:pPr>
      <w:r>
        <w:rPr/>
        <w:t xml:space="preserve">图表：2023-2025年东部数字化基础指数</w:t>
      </w:r>
    </w:p>
    <w:p>
      <w:pPr>
        <w:spacing w:before="75" w:after="0"/>
      </w:pPr>
      <w:r>
        <w:rPr/>
        <w:t xml:space="preserve">图表：2026-2031年全球市场复合增长率</w:t>
      </w:r>
    </w:p>
    <w:p>
      <w:pPr>
        <w:spacing w:before="75" w:after="0"/>
      </w:pPr>
      <w:r>
        <w:rPr/>
        <w:t xml:space="preserve">图表：2026-2031年中小企业saas服务渗透率</w:t>
      </w:r>
    </w:p>
    <w:p>
      <w:pPr>
        <w:spacing w:before="75" w:after="0"/>
      </w:pPr>
      <w:r>
        <w:rPr/>
        <w:t xml:space="preserve">图表：2026-2031年多智能体协同调度系统试点应用率</w:t>
      </w:r>
    </w:p>
    <w:p>
      <w:pPr>
        <w:spacing w:before="75" w:after="0"/>
      </w:pPr>
      <w:r>
        <w:rPr/>
        <w:t xml:space="preserve">图表：2026-2031年神经符号混合推理商用率</w:t>
      </w:r>
    </w:p>
    <w:p>
      <w:pPr>
        <w:spacing w:before="75" w:after="0"/>
      </w:pPr>
      <w:r>
        <w:rPr/>
        <w:t xml:space="preserve">图表：2026-2031年中美技术路线分化强度</w:t>
      </w:r>
    </w:p>
    <w:p>
      <w:pPr>
        <w:spacing w:before="75" w:after="0"/>
      </w:pPr>
      <w:r>
        <w:rPr/>
        <w:t xml:space="preserve">图表：2026-2031年能源物理规律嵌入生成率</w:t>
      </w:r>
    </w:p>
    <w:p>
      <w:pPr>
        <w:spacing w:before="75" w:after="0"/>
      </w:pPr>
      <w:r>
        <w:rPr/>
        <w:t xml:space="preserve">图表：2026-2031年流式能源数据端到端推理平均延迟</w:t>
      </w:r>
    </w:p>
    <w:p>
      <w:pPr>
        <w:spacing w:before="75" w:after="0"/>
      </w:pPr>
      <w:r>
        <w:rPr/>
        <w:t xml:space="preserve">图表：2026-2031年低功耗推理芯片适配率</w:t>
      </w:r>
    </w:p>
    <w:p>
      <w:pPr>
        <w:spacing w:before="75" w:after="0"/>
      </w:pPr>
      <w:r>
        <w:rPr/>
        <w:t xml:space="preserve">图表：2026-2031年能源专用指令集芯片研发</w:t>
      </w:r>
    </w:p>
    <w:p>
      <w:pPr>
        <w:spacing w:before="75" w:after="0"/>
      </w:pPr>
      <w:r>
        <w:rPr/>
        <w:t xml:space="preserve">图表：2026-2031年低代码模型平台普及率</w:t>
      </w:r>
    </w:p>
    <w:p>
      <w:pPr>
        <w:spacing w:before="75" w:after="0"/>
      </w:pPr>
      <w:r>
        <w:rPr/>
        <w:t xml:space="preserve">图表：2026-2031年模型即服务订阅占比</w:t>
      </w:r>
    </w:p>
    <w:p>
      <w:pPr>
        <w:spacing w:before="75" w:after="0"/>
      </w:pPr>
      <w:r>
        <w:rPr/>
        <w:t xml:space="preserve">图表：2026-2031年极端气候韧性系统部署</w:t>
      </w:r>
    </w:p>
    <w:p>
      <w:pPr>
        <w:spacing w:before="75" w:after="0"/>
      </w:pPr>
      <w:r>
        <w:rPr/>
        <w:t xml:space="preserve">图表：2026-2031年电碳市场智能撮合项目数</w:t>
      </w:r>
    </w:p>
    <w:p>
      <w:pPr>
        <w:spacing w:before="75" w:after="0"/>
      </w:pPr>
      <w:r>
        <w:rPr/>
        <w:t xml:space="preserve">图表：2026-2031年能源-交通耦合优化规模</w:t>
      </w:r>
    </w:p>
    <w:p>
      <w:pPr>
        <w:spacing w:before="75" w:after="0"/>
      </w:pPr>
      <w:r>
        <w:rPr/>
        <w:t xml:space="preserve">图表：2026-2031年平台型企业生态收入占比</w:t>
      </w:r>
    </w:p>
    <w:p>
      <w:pPr>
        <w:spacing w:before="75" w:after="0"/>
      </w:pPr>
      <w:r>
        <w:rPr/>
        <w:t xml:space="preserve">图表：2026-2031年能源ai复合人才流动率</w:t>
      </w:r>
    </w:p>
    <w:p>
      <w:pPr>
        <w:spacing w:before="75" w:after="0"/>
      </w:pPr>
      <w:r>
        <w:rPr/>
        <w:t xml:space="preserve">图表：2026-2031年模型接口统一协议进度</w:t>
      </w:r>
    </w:p>
    <w:p>
      <w:pPr>
        <w:spacing w:before="75" w:after="0"/>
      </w:pPr>
      <w:r>
        <w:rPr/>
        <w:t xml:space="preserve">图表：2026-2031年能源专用大模型投资热度</w:t>
      </w:r>
    </w:p>
    <w:p>
      <w:pPr>
        <w:spacing w:before="75" w:after="0"/>
      </w:pPr>
      <w:r>
        <w:rPr/>
        <w:t xml:space="preserve">图表：2026-2031年可信ai工具市场规模</w:t>
      </w:r>
    </w:p>
    <w:p>
      <w:pPr>
        <w:spacing w:before="75" w:after="0"/>
      </w:pPr>
      <w:r>
        <w:rPr/>
        <w:t xml:space="preserve">图表：2026-2031年知识增强数据集估值倍数</w:t>
      </w:r>
    </w:p>
    <w:p>
      <w:pPr>
        <w:spacing w:before="75" w:after="0"/>
      </w:pPr>
      <w:r>
        <w:rPr/>
        <w:t xml:space="preserve">图表：2026-2031年绑定能源集团企业增长率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本文地址：https://www.51baogao.cn/baogao/20260512/4067847.shtml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12/406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2026-2031年中国能源大模型行业全景调研及投资规划研究咨询报告</dc:title>
  <dc:description>2026-2031年中国能源大模型行业全景调研及投资规划研究咨询报告</dc:description>
  <dc:subject>2026-2031年中国能源大模型行业全景调研及投资规划研究咨询报告</dc:subject>
  <cp:keywords>研究报告</cp:keywords>
  <cp:category>研究报告</cp:category>
  <cp:lastModifiedBy>北京中道泰和信息咨询有限公司</cp:lastModifiedBy>
  <dcterms:created xsi:type="dcterms:W3CDTF">2026-05-12T20:32:41+08:00</dcterms:created>
  <dcterms:modified xsi:type="dcterms:W3CDTF">2026-05-12T20:32:41+08:00</dcterms:modified>
</cp:coreProperties>
</file>

<file path=docProps/custom.xml><?xml version="1.0" encoding="utf-8"?>
<Properties xmlns="http://schemas.openxmlformats.org/officeDocument/2006/custom-properties" xmlns:vt="http://schemas.openxmlformats.org/officeDocument/2006/docPropsVTypes"/>
</file>