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十四五期间中国通信设备行业发展趋势预测及投资战略研究报告</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中国通信设备制造产业把握产业贸易分工协作的机遇，不断优化发展环境，凭借综合制造优势，在通信设备、手机、个人电脑、可穿戴设备等整机领域，形成极强的制造能力和价格竞争优势，带动了一批企业跻身全球前列。2019年，我国通信设备制造业营业收入同比增长4.3%，利润同比增长27.9%。2020年8月，通信设备制造业增加值同比增长6.9%，出口交货值与去年持平。主要产品中，手机产量同比增长3.5%，其中智能手机产量同比增长12.1%。受新冠疫情影响，2020年行业营业收入增速持续下滑，2020年上半年中国计算机、通信和其他电子设备制造业营业收入为51366.6亿元，同比增长2.3%。2020年1-8月，通信设备制造业营业收入同比增长8.1%，利润同比增长38.1%。</w:t>
      </w:r>
    </w:p>
    <w:p>
      <w:pPr>
        <w:spacing w:after="150"/>
      </w:pPr>
      <w:r>
        <w:rPr/>
        <w:t xml:space="preserve">世界各国都在积极布局，从标准制定、技术研发、推进应用试点几个维度来推进5G产业发展。截至2019年12月，全球共有超过100个国家/地区的200余家运营商完成或正在开展5G实验，其中34个国家/地区的62家运营商已经实现商业应用。</w:t>
      </w:r>
    </w:p>
    <w:p>
      <w:pPr>
        <w:spacing w:after="150"/>
      </w:pPr>
      <w:r>
        <w:rPr/>
        <w:t xml:space="preserve">预计到2020年底，全球5G商用网络将从2019年的60个增至170个，基站会从2019年的50万个增长到150万个，全球5G用户预计将会从1000多万增至2.5亿，而中国将占全球整个5G基站建设的50%以上，在用户的发展数量上占世界的70%以上。</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截至2020年3月，我国网民规模为9.04亿，互联网普及率达64.5%。截至2020年3月底，中国光纤接入用户为4.24亿。2020年初，受新冠肺炎疫情影响，大部分网络应用的用户规模呈现较大幅度增长。中国互联网普及率逐步提升，同时通信设备的市场规模不断增长，在基站建设和用户终端都有着极大的市场前景。中国在2019年6月初向三家电信运营商和一家广电运营商颁发了5G牌照，随后开始大规模部署5G网络，截至2019年12月，我国已经建成5G基站超过13万个。鉴于中国市场巨大的体量，预计很快就会成为5G商用规模最大的区域市场。同时，中国5G基站和终端市场同样发展迅速。从2020年起中国每年将新增部署数十万甚至上百万个基站，使得中国5G基站的规模向4G时代一样，占据全球总量的一半以上。同时，中国运营商还在与通信厂商一起积极探索5G行业应用。这将使得中国在5G技术、设备和创新解决方案等方面形成优势，对亚太市场产生巨大的辐射影响，并对欧洲等地区产生重要影响。</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【通信设备行业整体运行情况怎样?行业各项经济指标运行如何(产值、市场规模hellip;hellip;)?通信设备市场供需形势怎样?未来需求形势如何?】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【专网通信设备市场、光通信设备市场hellip;hellip;各细分市场情况如何?细分产品发展情况如何?】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 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【通信设备行业十三五规划如何?未来通信设备行业发展前景怎样?有些什么样的变化趋势?投资价值怎样?投资机会在哪里?】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本文地址：https://www.51baogao.cn/diannao/20090421504.shtml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42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十四五期间中国通信设备行业发展趋势预测及投资战略研究报告</dc:title>
  <dc:description>十四五期间中国通信设备行业发展趋势预测及投资战略研究报告</dc:description>
  <dc:subject>十四五期间中国通信设备行业发展趋势预测及投资战略研究报告</dc:subject>
  <cp:keywords>研究报告</cp:keywords>
  <cp:category>研究报告</cp:category>
  <cp:lastModifiedBy>北京中道泰和信息咨询有限公司</cp:lastModifiedBy>
  <dcterms:created xsi:type="dcterms:W3CDTF">2024-02-29T15:46:41+08:00</dcterms:created>
  <dcterms:modified xsi:type="dcterms:W3CDTF">2024-02-29T15:46:41+08:00</dcterms:modified>
</cp:coreProperties>
</file>

<file path=docProps/custom.xml><?xml version="1.0" encoding="utf-8"?>
<Properties xmlns="http://schemas.openxmlformats.org/officeDocument/2006/custom-properties" xmlns:vt="http://schemas.openxmlformats.org/officeDocument/2006/docPropsVTypes"/>
</file>