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2024-2029年中国教育培训行业市场发展分析及前景趋势预测与发展战略研究报告</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除去风险投资，国际教育集团参与度也在提高，而对于普通投资者来说投资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书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2019年中国教育培训市场规模约3.24万亿元，随着中国居民教育支出的增长，各项政策的出台，间，随着二孩年龄增长至学龄儿童，教育培训市场规模平均增长率将稳定在15%左右，预计到2025年中国教育培训市场规模将达7.5万亿元</w:t>
      </w:r>
    </w:p>
    <w:p>
      <w:pPr>
        <w:spacing w:after="150"/>
      </w:pPr>
      <w:r>
        <w:rPr/>
        <w:t xml:space="preserve">面临问题</w:t>
      </w:r>
    </w:p>
    <w:p>
      <w:pPr>
        <w:spacing w:after="150"/>
      </w:pPr>
      <w:r>
        <w:rPr/>
        <w:t xml:space="preserve">从目前的发展状况看中国的教育培训业尚处于起步阶段，虽然教育培训机构已有近十万家，但资金规模超过10亿元的屈指可数。中小教育培训机构发展面临着危机，主要是人才缺乏科学教育教学科研力量的薄弱，抵御风险的能力低下，在经济危机面前很难快速发展，教育培训业将迎来新一轮的洗牌阶段，大结构将出现综合化发展，专业教育将突出差异化进行连锁经营，融资后的教育机构为了扩张将继续收购全国地方大型教育机构，小机构为了生存必须进行改革创新，寻求教育蓝海战略，打造发展初期的核心竞争力。</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【教育培训行业整体运行情况怎样?行业各项经济指标运行如何(资产、营业利润增长hellip;hellip;)?培训市场需求形势怎样?教育培训消费市场状况如何?】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【语言培训、it培训hellip;hellip;各细分市场情况如何?产业结构调整方向在哪?营销趋势与策略有什么变化?】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十四、深圳市达内软件有限公司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二十一、北京学而思教育科技集团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三十、上海乐宁教育培训有限公司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t xml:space="preserve">第四节 新冠肺炎疫情影响下教育培训行业的发展</w:t>
      </w:r>
    </w:p>
    <w:p>
      <w:pPr>
        <w:spacing w:after="150"/>
      </w:pPr>
      <w:r>
        <w:rPr/>
        <w:t xml:space="preserve">一、疫情对教育领域发展的影响分析</w:t>
      </w:r>
    </w:p>
    <w:p>
      <w:pPr>
        <w:spacing w:after="150"/>
      </w:pPr>
      <w:r>
        <w:rPr/>
        <w:t xml:space="preserve">二、后疫情时代线上教育培训发展趋势分析</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本文地址：https://www.51baogao.cn/wenti/201003012182.shtml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301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2024-2029年中国教育培训行业市场发展分析及前景趋势预测与发展战略研究报告</dc:title>
  <dc:description>2024-2029年中国教育培训行业市场发展分析及前景趋势预测与发展战略研究报告</dc:description>
  <dc:subject>2024-2029年中国教育培训行业市场发展分析及前景趋势预测与发展战略研究报告</dc:subject>
  <cp:keywords>研究报告</cp:keywords>
  <cp:category>研究报告</cp:category>
  <cp:lastModifiedBy>北京中道泰和信息咨询有限公司</cp:lastModifiedBy>
  <dcterms:created xsi:type="dcterms:W3CDTF">2024-02-29T15:05:52+08:00</dcterms:created>
  <dcterms:modified xsi:type="dcterms:W3CDTF">2024-02-29T15:05:52+08:00</dcterms:modified>
</cp:coreProperties>
</file>

<file path=docProps/custom.xml><?xml version="1.0" encoding="utf-8"?>
<Properties xmlns="http://schemas.openxmlformats.org/officeDocument/2006/custom-properties" xmlns:vt="http://schemas.openxmlformats.org/officeDocument/2006/docPropsVTypes"/>
</file>