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2024-2029年中国物流行业发展格局分析及投资前景预测报告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2018年物流业跑赢了中国大多数实体经济部门的增速。更为重要的是，高增长的背后，不仅是需求的刺激，更有市场结构优化和技术变革等供给端的改变。2018年全国社会物流总额为280万亿元左右，可比增长6.5%。2018年，物流行业共发生了104笔融资，融资金额接近750亿元。融资数量走低，融资总额亮眼。亿元融资共59笔，其中不少都是以十亿起跳，而京东物流、满帮甚至首轮就拿到百亿级别融资，巨头开始浮出水面。近年来人工智能、大数据、无人技术等热词开始频繁出现在物流行业，2018年发生在物流技术领域的融资22笔，技术发展的节点似乎已经到来。</w:t>
      </w:r>
    </w:p>
    <w:p>
      <w:pPr>
        <w:spacing w:after="150"/>
      </w:pPr>
      <w:r>
        <w:rPr/>
        <w:t xml:space="preserve">2019年我国社会物流总额达到298.0万亿元，全年社会物流总额可比增长5.9%;2019年社会物流总费用14.6万亿元，同比增长7.3%;2019年物流业总收入10.3万亿元，同比增长9.0%。</w:t>
      </w:r>
    </w:p>
    <w:p>
      <w:pPr>
        <w:spacing w:after="150"/>
      </w:pPr>
      <w:r>
        <w:rPr/>
        <w:t xml:space="preserve">2020年1-12月，全国社会物流总额为300.1万亿元，按可比价格计算，同比增长3.5%，增速比1-11月提高0.5个百分点。其中，工业品物流总额为269.9万亿元，同比增长2.8%，增速比1-11月提高1个百分点;进口货物物流总额为14.2万亿元，同比增长8.9%，增速比1-11月降低0.1个百分点;单位与居民物品物流总额9.8万亿元，同比增长13.2%，增速比1-11月下降0.7个百分点。农产品物流总额4.6万亿元，同比增长3.0%，增速比1-11月提高2.1个百分点。</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有望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2019年3月1日，发改委等部委发布《关于推动物流高质量发展促进形成强大国内市场的意见》，明确表示将启动第一批15个左右国家物流枢纽布局建设，培育形成一批资源整合能力强、运营模式先进的枢纽运营企业，促进区域内和跨区域物流活动组织化、规模化、网络化运行。2019年9月9日，交通运输部、国家税务总局发布《网络平台道路货物运输经营管理暂行办法》，这是我国首个物流新业态管理暂行办法，于2020年1月1日起施行，有效期2年。2020年6月2日，国家发展改革委、交通运输部发布《关于进一步降低物流成本实施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6、《物流业中长期发展规划(2012-2020年)》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五、笋岗mdash;清水河物流园区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本文地址：https://www.51baogao.cn/wuliu/200902wuliu.shtml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2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2024-2029年中国物流行业发展格局分析及投资前景预测报告</dc:title>
  <dc:description>2024-2029年中国物流行业发展格局分析及投资前景预测报告</dc:description>
  <dc:subject>2024-2029年中国物流行业发展格局分析及投资前景预测报告</dc:subject>
  <cp:keywords>研究报告</cp:keywords>
  <cp:category>研究报告</cp:category>
  <cp:lastModifiedBy>北京中道泰和信息咨询有限公司</cp:lastModifiedBy>
  <dcterms:created xsi:type="dcterms:W3CDTF">2024-02-29T15:56:37+08:00</dcterms:created>
  <dcterms:modified xsi:type="dcterms:W3CDTF">2024-02-29T15:56:37+08:00</dcterms:modified>
</cp:coreProperties>
</file>

<file path=docProps/custom.xml><?xml version="1.0" encoding="utf-8"?>
<Properties xmlns="http://schemas.openxmlformats.org/officeDocument/2006/custom-properties" xmlns:vt="http://schemas.openxmlformats.org/officeDocument/2006/docPropsVTypes"/>
</file>