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2024-2029年中国医疗信息化行业发展趋势预测及投资战略研究报告</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1、《\\\"十三五\\\"国家信息化规划》</w:t>
      </w:r>
    </w:p>
    <w:p>
      <w:pPr>
        <w:spacing w:after="150"/>
      </w:pPr>
      <w:r>
        <w:rPr/>
        <w:t xml:space="preserve">2、《\\\"十三五\\\"卫生与健康规划》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2021-2023年医疗信息化行业分析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2021-2023年部分地区医疗信息化发展状况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2021-2023年医疗信息化细分市场分析（需要包含互联网医院、医共体及医联体建设相关分析）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第六章 2021-2023年农村医疗信息化的发展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医疗信息化重点省市建设现状分析（需要包含河南省市场的相关分析）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医疗信息化应用案例（需要包含互联网医院、医共体及医联体案例相关分析）</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一、2023年医疗信息化应用行业投资战略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图表：2023年年末人口数及其构成</w:t>
      </w:r>
    </w:p>
    <w:p>
      <w:pPr>
        <w:spacing w:after="150"/>
      </w:pPr>
      <w:r>
        <w:rPr/>
        <w:t xml:space="preserve">图表：2019-2023年城镇新增就业人数</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图表：2022-2023年全球智慧医疗市场规模(单位：亿美元)</w:t>
      </w:r>
    </w:p>
    <w:p>
      <w:pPr>
        <w:spacing w:after="150"/>
      </w:pPr>
      <w:r>
        <w:rPr/>
        <w:t xml:space="preserve">图表：2023年全球医疗信息化市场区域分布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图表：2021-2023年医疗信息化行业投资规模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本文地址：https://www.51baogao.cn/yiliao/yiliaoxinxihuajianshe.shtml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xinxihua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2024-2029年中国医疗信息化行业发展趋势预测及投资战略研究报告</dc:title>
  <dc:description>2024-2029年中国医疗信息化行业发展趋势预测及投资战略研究报告</dc:description>
  <dc:subject>2024-2029年中国医疗信息化行业发展趋势预测及投资战略研究报告</dc:subject>
  <cp:keywords>研究报告</cp:keywords>
  <cp:category>研究报告</cp:category>
  <cp:lastModifiedBy>北京中道泰和信息咨询有限公司</cp:lastModifiedBy>
  <dcterms:created xsi:type="dcterms:W3CDTF">2024-02-29T14:09:56+08:00</dcterms:created>
  <dcterms:modified xsi:type="dcterms:W3CDTF">2024-02-29T14:09:56+08:00</dcterms:modified>
</cp:coreProperties>
</file>

<file path=docProps/custom.xml><?xml version="1.0" encoding="utf-8"?>
<Properties xmlns="http://schemas.openxmlformats.org/officeDocument/2006/custom-properties" xmlns:vt="http://schemas.openxmlformats.org/officeDocument/2006/docPropsVTypes"/>
</file>