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2024-2029年中国疫苗行业市场分析及投资前景预测报告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最近几年，以7价、13价肺炎疫苗以及HPV疫苗为代表的重磅疫苗先后在中国上市，国内市场进入新型疫苗发展的黄金时代。国内民企在研发新型疫苗方面动作迅速，实力雄厚，比如智飞生物和康泰生物推出的AC-Hib三联苗、DTaP-Hib四联苗均为国内独家单品。2018年新型疫苗市场产值达到243.3亿元，同比增长129.79%，主要原因在于2018年HPV疫苗批签发量增速迅猛，从2017年的145.52万支增至2018年的712.84万支，增速高达390%。</w:t>
      </w:r>
    </w:p>
    <w:p>
      <w:pPr>
        <w:spacing w:after="150"/>
      </w:pPr>
      <w:r>
        <w:rPr/>
        <w:t xml:space="preserve">长生事件引起了我国政府对疫苗安全的高度重视，历经最高立法机关三次审议，《疫苗管理法》在2019年6月29日获得十三届全国人大常委会第十一次会议表决通过，并于2019年12月1日起施行。这是我国首部有关疫苗管理的专门法律，共十一章一百条，分别对疫苗研制和注册、疫苗生产和批签发、疫苗流通、预防接种、异常反应监测和处理、疫苗上市后管理、保障措施、监督管理、法律责任等作出了明确规定，体现了严控质量、措施全面、社会共治等特点，而管得严、罚得重更是彰显了我国加强疫苗监管的决心。</w:t>
      </w:r>
    </w:p>
    <w:p>
      <w:pPr>
        <w:spacing w:after="150"/>
      </w:pPr>
      <w:r>
        <w:rPr/>
        <w:t xml:space="preserve">市场容量</w:t>
      </w:r>
    </w:p>
    <w:p>
      <w:pPr>
        <w:spacing w:after="150"/>
      </w:pPr>
      <w:r>
        <w:rPr/>
        <w:t xml:space="preserve">2019年中国疫苗市场规模约560亿元。2020年伊始，新冠肺炎疫情对疫苗行业的刺激暴增，未来规模增速提高。从批签发数量看，截至2019年12月22日，我国hib单苗、AC-hib三联苗(智飞生物)、百白破-Hib四联苗(康泰生物)、百白破-灭活脊灰-Hib五联苗(赛诺菲)的批签发量分别为706.68万支、428.06万支、425.59万支、420.62万支，同比分别增长-35.09%、-33.50%、-17.38%、107.22%。单苗下滑明显，联苗替代趋势明显;三联苗批签发量下滑主要与注册证到期有关;四联苗批签发量下滑主要与行业事件影响有关，目前已逐步恢复正常;五联苗批签发量上升明显主要与2018上半年缺货有关。自2011年第一个Hib系联苗上市，联苗对单苗替代的比例已经过半。</w:t>
      </w:r>
    </w:p>
    <w:p>
      <w:pPr>
        <w:spacing w:after="150"/>
      </w:pPr>
      <w:r>
        <w:rPr/>
        <w:t xml:space="preserve">2016-2019年国内新型疫苗市场呈现明显的产品迭代趋势：三联苗、四联苗、五联苗逐渐替代Hib单苗;五价轮状病毒疫苗替代单价轮状病毒疫苗;4价、9价HPV替代2价HPV疫苗;4价流感裂解疫苗替代普通3价流感疫苗;带状疱疹疫苗对佐剂升级换代等。据统计，2020年上半年中国累计新增疫苗批签发2.77亿支/瓶，同比增长20.74%。其中一类苗批签发1.75亿，同比增长23.68%，占比整体63.18%;二类苗1.01亿，同比增长15.99%，占比36.46%。</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w:t>
      </w:r>
    </w:p>
    <w:p>
      <w:pPr>
        <w:spacing w:after="150"/>
      </w:pPr>
      <w:r>
        <w:rPr/>
        <w:t xml:space="preserve">民营正加速赶超，主要有康泰生物、智飞生物等，以及拥有重大创新在研品种的企业，如欧林生物。康泰生物目前是国内独家生产DTaP-Hib四联疫苗的企业，2018年四联苗快速放量，为康泰生物创造15.3亿元产值，智飞生物的AC-Hib三联疫苗为全球独家产品，未来一段时间，智飞生物将仍将独享国内市场。欧林生物目前虽没有在售新型疫苗品种，但其重大创新在研品种重组金黄色葡萄球菌疫苗(大肠杆菌)已处于临床II期。金黄色葡萄球菌(MASA)是医院感染最常见的病原体，目前全球尚无针对MASA的疫苗上市，其中辉瑞、GSK等均处于临床阶段，欧林生物是国内唯一进入临床研究阶段的企业。</w:t>
      </w:r>
    </w:p>
    <w:p>
      <w:pPr>
        <w:spacing w:after="150"/>
      </w:pPr>
      <w:r>
        <w:rPr/>
        <w:t xml:space="preserve">前景展望</w:t>
      </w:r>
    </w:p>
    <w:p>
      <w:pPr>
        <w:spacing w:after="150"/>
      </w:pPr>
      <w:r>
        <w:rPr/>
        <w:t xml:space="preserve">疫苗行业监管趋严，对新型疫苗的质量要求更高。长生事件后政策监管趋严，《疫苗管理法》覆盖研发、生产、流通、预防接种等多个环节，监管体系日趋完善，由于新型疫苗生产工艺较传统疫苗复杂，对于新型疫苗的质量也提出了更高的要求。</w:t>
      </w:r>
    </w:p>
    <w:p>
      <w:pPr>
        <w:spacing w:after="150"/>
      </w:pPr>
      <w:r>
        <w:rPr/>
        <w:t xml:space="preserve">新型疫苗技术迎来爆发期，重磅品种上市可期。全球重磅疫苗的上市推动我国疫苗向新型疫苗的升级，技术取得长足的进步。随着国外重磅品种和国内重磅仿制品种和少数创新品种的上市，我国疫苗行业有望打破停滞不前的局面。近年来全球疫苗市场持续增长，但同时疫苗低频消费(多数接种者接种过一个流程便不会再接种)的特点导致了同类型产品间竞争激烈。无论是国际还是国内市场，疫苗行业的微创新十分迅速，疫苗单品能够在上市后短时间成为爆款的同时，也面临着容易被新技术升级迭代的风险。技术更新包括针对亚型的扩充、年龄层和使用人群拓宽、更强的安全性和免疫原性、联合疫苗等。因此从单个产品维度看，疫苗生命周期有限。</w:t>
      </w:r>
    </w:p>
    <w:p>
      <w:pPr>
        <w:spacing w:after="150"/>
      </w:pPr>
      <w:r>
        <w:rPr/>
        <w:t xml:space="preserve">面临挑战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2017年全球销售额TOP10的疫苗有9个是新型疫苗，而国内的TOP产品中只有2个是新型疫苗。从研发投入来看，我国跟国外也有很大的差距。国内的疫苗企业大多属于跟随式创新，相比国外默沙东、赛诺菲巴斯德、辉瑞等，研发费用投入低。6家疫苗上市企业仅沃森生物一家研发费用高于销售费用，康泰的销售费用达到了研发费用的6倍之多。国外的巨头如赛诺菲，在登革热疫苗研发上花费了20年时间和15亿欧元(折合人民币上百亿元)，截至目前，这一疫苗尚未获得市场上的成功。</w:t>
      </w:r>
    </w:p>
    <w:p>
      <w:pPr>
        <w:spacing w:after="150"/>
      </w:pPr>
      <w:r>
        <w:rPr/>
        <w:t xml:space="preserve">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四、国家二胎政策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七、艾美汉信疫苗(大连)有限公司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十四、上海葛兰素史克生物制品有限公司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十九、上海联合赛尔生物工程有限公司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五、金宇保灵生物药品有限公司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十、辽宁益康生物股份有限公司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t xml:space="preserve">第七节 新冠肺炎疫情对疫苗行业的影响分析</w:t>
      </w:r>
    </w:p>
    <w:p>
      <w:pPr>
        <w:spacing w:after="150"/>
      </w:pPr>
      <w:r>
        <w:rPr/>
        <w:t xml:space="preserve">一、疫情影响下疫苗行业机遇分析</w:t>
      </w:r>
    </w:p>
    <w:p>
      <w:pPr>
        <w:spacing w:after="150"/>
      </w:pPr>
      <w:r>
        <w:rPr/>
        <w:t xml:space="preserve">二、新冠肺炎疫苗研发进展</w:t>
      </w:r>
    </w:p>
    <w:p>
      <w:pPr>
        <w:spacing w:after="150"/>
      </w:pPr>
      <w:r>
        <w:rPr/>
        <w:t xml:space="preserve">三、后疫情时代疫苗行业将迅猛发展</w:t>
      </w:r>
    </w:p>
    <w:p>
      <w:pPr>
        <w:spacing w:after="150"/>
      </w:pPr>
      <w:r>
        <w:rPr>
          <w:b w:val="1"/>
          <w:bCs w:val="1"/>
        </w:rPr>
        <w:t xml:space="preserve">第十章 2024-2029年疫苗行业投资分析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图表：一类疫苗主要生产厂商</w:t>
      </w:r>
    </w:p>
    <w:p>
      <w:pPr>
        <w:spacing w:after="150"/>
      </w:pPr>
      <w:r>
        <w:rPr/>
        <w:t xml:space="preserve">图表：二类疫苗主要生产企业一览</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本文地址：https://www.51baogao.cn/yiyao/200902yimiao.shtml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2yim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2024-2029年中国疫苗行业市场分析及投资前景预测报告</dc:title>
  <dc:description>2024-2029年中国疫苗行业市场分析及投资前景预测报告</dc:description>
  <dc:subject>2024-2029年中国疫苗行业市场分析及投资前景预测报告</dc:subject>
  <cp:keywords>研究报告</cp:keywords>
  <cp:category>研究报告</cp:category>
  <cp:lastModifiedBy>北京中道泰和信息咨询有限公司</cp:lastModifiedBy>
  <dcterms:created xsi:type="dcterms:W3CDTF">2024-02-29T15:36:01+08:00</dcterms:created>
  <dcterms:modified xsi:type="dcterms:W3CDTF">2024-02-29T15:36:01+08:00</dcterms:modified>
</cp:coreProperties>
</file>

<file path=docProps/custom.xml><?xml version="1.0" encoding="utf-8"?>
<Properties xmlns="http://schemas.openxmlformats.org/officeDocument/2006/custom-properties" xmlns:vt="http://schemas.openxmlformats.org/officeDocument/2006/docPropsVTypes"/>
</file>