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我国有色金属行业生产总体平稳，十种有色金属产量5842万吨，同比增长3.5%，增幅同比回落2.5个百分点。规模以上有色金属工业增加值增长8.2%，高于工业平均2.5个百分点。有色行业固定资产投资扭转一季度以来同比大幅下降的趋势，全年投资累计增长2.1%，其中矿山投资同比增长6.8%，冶炼及加工行业投资同比增长1.2%，行业节能减排技术改造、高端材料等领域的投资不断加快。2020年，有色金属行业产能过剩风险依然存在，绿色化、智能化改造任务艰巨，国际贸易环境复杂多变，消费市场亟待进一步拓展。</w:t>
      </w:r>
    </w:p>
    <w:p>
      <w:pPr>
        <w:spacing w:after="150"/>
      </w:pPr>
      <w:r>
        <w:rPr/>
        <w:t xml:space="preserve">2020年上半年，有色金属行业积极应对疫情不利影响，着力推动复工复产，二季度以来生产经营逐步恢复，效益降幅收窄。1-6月，十种有色金属产量2928万吨，同比增长2.9%，增幅同比回落1.4个百分点，工业增加值同比增长0.6%，高于工业行业平均值1.9个百分点。据统计，二季度企业信心指数为49.1，较一季度回升4.3个点，其中新订单量、生产量、原材料采购量等分项指数均超过临界点50，较一季度有较大改善。1-6月，有色行业投资同比下降8.5%，降幅较一季度收窄2.9个百分点，其中矿山、冶炼及压延加工投资分别同比下降2.5%、9.6%，较一季度分别收窄8.3个、2个百分点。</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2019年中国有色金属表观消费量约6320万吨，到2025年将达到8000万吨。</w:t>
      </w:r>
    </w:p>
    <w:p>
      <w:pPr>
        <w:spacing w:after="150"/>
      </w:pPr>
      <w:r>
        <w:rPr/>
        <w:t xml:space="preserve">面临的挑战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目前，国家相关政府部门不断出台相关政策。预计在未来，中国有色金属行业将逐步向绿色化道路转型升级。受国际经济大环境影响，有色金属行业基本面仍经受挑战，除了黄金、铜、钼等个别金属外，绝大多数有色金属品种都将面临消费量已进入平台期的挑战。大宗金属矿产需求收窄，小金属价格预好。</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1、《有色金属工业发展规划(2019-2023年)》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【铜、铝、铅锌、锡hellip;hellip;各细分市场情况如何?供需情况如何?未来前景怎样?】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本文地址：https://www.51baogao.cn/yousejinshu/yousejinshu_zhuanxing.shtml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ousejinshu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2024-2029年中国有色金属行业发展分析及前景趋势预测与发展战略研究报告</dc:title>
  <dc:description>2024-2029年中国有色金属行业发展分析及前景趋势预测与发展战略研究报告</dc:description>
  <dc:subject>2024-2029年中国有色金属行业发展分析及前景趋势预测与发展战略研究报告</dc:subject>
  <cp:keywords>研究报告</cp:keywords>
  <cp:category>研究报告</cp:category>
  <cp:lastModifiedBy>北京中道泰和信息咨询有限公司</cp:lastModifiedBy>
  <dcterms:created xsi:type="dcterms:W3CDTF">2024-02-29T14:05:35+08:00</dcterms:created>
  <dcterms:modified xsi:type="dcterms:W3CDTF">2024-02-29T14:05:35+08:00</dcterms:modified>
</cp:coreProperties>
</file>

<file path=docProps/custom.xml><?xml version="1.0" encoding="utf-8"?>
<Properties xmlns="http://schemas.openxmlformats.org/officeDocument/2006/custom-properties" xmlns:vt="http://schemas.openxmlformats.org/officeDocument/2006/docPropsVTypes"/>
</file>